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82F03" w14:textId="2C94E516" w:rsidR="00E40127" w:rsidRPr="00BF1100" w:rsidRDefault="00C97C63" w:rsidP="004251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8" w:hanging="708"/>
        <w:jc w:val="center"/>
        <w:rPr>
          <w:rFonts w:asciiTheme="majorHAnsi" w:eastAsia="UnitSlabPro-Thin" w:hAnsiTheme="majorHAnsi" w:cstheme="majorHAnsi"/>
          <w:b/>
          <w:bCs/>
          <w:color w:val="000000"/>
          <w:sz w:val="24"/>
          <w:szCs w:val="24"/>
          <w:u w:val="single"/>
        </w:rPr>
      </w:pPr>
      <w:r w:rsidRPr="00BF1100">
        <w:rPr>
          <w:rFonts w:asciiTheme="majorHAnsi" w:eastAsia="UnitSlabPro-Thin" w:hAnsiTheme="majorHAnsi" w:cstheme="majorHAnsi"/>
          <w:b/>
          <w:bCs/>
          <w:color w:val="000000" w:themeColor="text1"/>
          <w:sz w:val="24"/>
          <w:szCs w:val="24"/>
          <w:u w:val="single"/>
        </w:rPr>
        <w:t>Jednání pracovní</w:t>
      </w:r>
      <w:r w:rsidR="00400D93" w:rsidRPr="00BF1100">
        <w:rPr>
          <w:rFonts w:asciiTheme="majorHAnsi" w:eastAsia="UnitSlabPro-Thin" w:hAnsiTheme="majorHAnsi" w:cstheme="majorHAnsi"/>
          <w:b/>
          <w:bCs/>
          <w:color w:val="000000" w:themeColor="text1"/>
          <w:sz w:val="24"/>
          <w:szCs w:val="24"/>
          <w:u w:val="single"/>
        </w:rPr>
        <w:t>ch</w:t>
      </w:r>
      <w:r w:rsidRPr="00BF1100">
        <w:rPr>
          <w:rFonts w:asciiTheme="majorHAnsi" w:eastAsia="UnitSlabPro-Thin" w:hAnsiTheme="majorHAnsi" w:cstheme="majorHAnsi"/>
          <w:b/>
          <w:bCs/>
          <w:color w:val="000000" w:themeColor="text1"/>
          <w:sz w:val="24"/>
          <w:szCs w:val="24"/>
          <w:u w:val="single"/>
        </w:rPr>
        <w:t xml:space="preserve"> skupin ŘV ITI PMO – </w:t>
      </w:r>
      <w:r w:rsidR="004251BD" w:rsidRPr="00BF1100">
        <w:rPr>
          <w:rFonts w:asciiTheme="majorHAnsi" w:eastAsia="UnitSlabPro-Thin" w:hAnsiTheme="majorHAnsi" w:cstheme="majorHAnsi"/>
          <w:b/>
          <w:bCs/>
          <w:color w:val="000000" w:themeColor="text1"/>
          <w:sz w:val="28"/>
          <w:szCs w:val="28"/>
          <w:u w:val="single"/>
        </w:rPr>
        <w:t>Vozidla</w:t>
      </w:r>
      <w:r w:rsidRPr="00BF1100">
        <w:rPr>
          <w:rFonts w:asciiTheme="majorHAnsi" w:eastAsia="UnitSlabPro-Thin" w:hAnsiTheme="majorHAnsi" w:cstheme="majorHAnsi"/>
          <w:b/>
          <w:bCs/>
          <w:color w:val="000000" w:themeColor="text1"/>
          <w:sz w:val="28"/>
          <w:szCs w:val="28"/>
          <w:u w:val="single"/>
        </w:rPr>
        <w:t xml:space="preserve"> a </w:t>
      </w:r>
      <w:r w:rsidR="4499BE38" w:rsidRPr="00BF1100">
        <w:rPr>
          <w:rFonts w:asciiTheme="majorHAnsi" w:eastAsia="UnitSlabPro-Thin" w:hAnsiTheme="majorHAnsi" w:cstheme="majorHAnsi"/>
          <w:b/>
          <w:bCs/>
          <w:color w:val="000000" w:themeColor="text1"/>
          <w:sz w:val="28"/>
          <w:szCs w:val="28"/>
          <w:u w:val="single"/>
        </w:rPr>
        <w:t>Plnící a dobíjecí stanice</w:t>
      </w:r>
      <w:r w:rsidR="001E7122">
        <w:rPr>
          <w:rFonts w:asciiTheme="majorHAnsi" w:eastAsia="UnitSlabPro-Thin" w:hAnsiTheme="majorHAnsi" w:cstheme="majorHAnsi"/>
          <w:b/>
          <w:bCs/>
          <w:color w:val="000000" w:themeColor="text1"/>
          <w:sz w:val="28"/>
          <w:szCs w:val="28"/>
          <w:u w:val="single"/>
        </w:rPr>
        <w:t xml:space="preserve"> II a III</w:t>
      </w:r>
    </w:p>
    <w:p w14:paraId="3AC7828A" w14:textId="77777777" w:rsidR="00752692" w:rsidRPr="005B77B3" w:rsidRDefault="00752692" w:rsidP="005135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Style w:val="normaltextrun"/>
          <w:rFonts w:asciiTheme="majorHAnsi" w:hAnsiTheme="majorHAnsi" w:cstheme="majorHAnsi"/>
          <w:b/>
          <w:bCs/>
          <w:color w:val="000000"/>
        </w:rPr>
      </w:pPr>
    </w:p>
    <w:p w14:paraId="69004FF8" w14:textId="38C35509" w:rsidR="00E40127" w:rsidRPr="005B77B3" w:rsidRDefault="00E027CD" w:rsidP="005135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Theme="majorHAnsi" w:eastAsia="UnitSlabPro-Thin" w:hAnsiTheme="majorHAnsi" w:cstheme="majorHAnsi"/>
          <w:b/>
          <w:color w:val="000000"/>
        </w:rPr>
      </w:pPr>
      <w:r w:rsidRPr="005B77B3">
        <w:rPr>
          <w:rStyle w:val="normaltextrun"/>
          <w:rFonts w:asciiTheme="majorHAnsi" w:hAnsiTheme="majorHAnsi" w:cstheme="majorHAnsi"/>
          <w:b/>
          <w:bCs/>
          <w:color w:val="000000"/>
        </w:rPr>
        <w:t xml:space="preserve">Místo konání: </w:t>
      </w:r>
      <w:r w:rsidR="006248A7" w:rsidRPr="006248A7">
        <w:rPr>
          <w:rStyle w:val="normaltextrun"/>
          <w:rFonts w:asciiTheme="majorHAnsi" w:hAnsiTheme="majorHAnsi" w:cstheme="majorHAnsi"/>
          <w:b/>
          <w:bCs/>
          <w:color w:val="000000"/>
        </w:rPr>
        <w:t xml:space="preserve">Staroměstské nám. 1/3, </w:t>
      </w:r>
      <w:r w:rsidR="006248A7">
        <w:rPr>
          <w:rStyle w:val="normaltextrun"/>
          <w:rFonts w:asciiTheme="majorHAnsi" w:hAnsiTheme="majorHAnsi" w:cstheme="majorHAnsi"/>
          <w:b/>
          <w:bCs/>
          <w:color w:val="000000"/>
        </w:rPr>
        <w:t>Praha 1</w:t>
      </w:r>
      <w:r w:rsidR="006248A7" w:rsidRPr="006248A7">
        <w:rPr>
          <w:rStyle w:val="normaltextrun"/>
          <w:rFonts w:asciiTheme="majorHAnsi" w:hAnsiTheme="majorHAnsi" w:cstheme="majorHAnsi"/>
          <w:b/>
          <w:bCs/>
          <w:color w:val="000000"/>
        </w:rPr>
        <w:t>, místnost Radničního klubu ve 3. patře</w:t>
      </w:r>
      <w:r w:rsidR="006248A7">
        <w:rPr>
          <w:rStyle w:val="normaltextrun"/>
          <w:rFonts w:asciiTheme="majorHAnsi" w:hAnsiTheme="majorHAnsi" w:cstheme="majorHAnsi"/>
          <w:b/>
          <w:bCs/>
          <w:color w:val="000000"/>
        </w:rPr>
        <w:t xml:space="preserve"> </w:t>
      </w:r>
    </w:p>
    <w:p w14:paraId="4C08BAAE" w14:textId="130C0CA8" w:rsidR="00E40127" w:rsidRPr="005B77B3" w:rsidRDefault="00E131B0" w:rsidP="005135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8" w:hanging="708"/>
        <w:jc w:val="both"/>
        <w:rPr>
          <w:rFonts w:asciiTheme="majorHAnsi" w:eastAsia="UnitSlabPro-Thin" w:hAnsiTheme="majorHAnsi" w:cstheme="majorHAnsi"/>
          <w:b/>
          <w:color w:val="000000"/>
        </w:rPr>
      </w:pPr>
      <w:r w:rsidRPr="005B77B3">
        <w:rPr>
          <w:rStyle w:val="normaltextrun"/>
          <w:rFonts w:asciiTheme="majorHAnsi" w:hAnsiTheme="majorHAnsi" w:cstheme="majorHAnsi"/>
          <w:b/>
          <w:bCs/>
          <w:color w:val="000000"/>
        </w:rPr>
        <w:t xml:space="preserve">Termín konání: </w:t>
      </w:r>
      <w:r w:rsidR="00C97C63" w:rsidRPr="005B77B3">
        <w:rPr>
          <w:rFonts w:asciiTheme="majorHAnsi" w:eastAsia="UnitSlabPro-Thin" w:hAnsiTheme="majorHAnsi" w:cstheme="majorHAnsi"/>
          <w:b/>
          <w:color w:val="000000"/>
        </w:rPr>
        <w:t>1</w:t>
      </w:r>
      <w:r w:rsidR="006248A7">
        <w:rPr>
          <w:rFonts w:asciiTheme="majorHAnsi" w:eastAsia="UnitSlabPro-Thin" w:hAnsiTheme="majorHAnsi" w:cstheme="majorHAnsi"/>
          <w:b/>
          <w:color w:val="000000"/>
        </w:rPr>
        <w:t>5</w:t>
      </w:r>
      <w:r w:rsidR="00C97C63" w:rsidRPr="005B77B3">
        <w:rPr>
          <w:rFonts w:asciiTheme="majorHAnsi" w:eastAsia="UnitSlabPro-Thin" w:hAnsiTheme="majorHAnsi" w:cstheme="majorHAnsi"/>
          <w:b/>
          <w:color w:val="000000"/>
        </w:rPr>
        <w:t xml:space="preserve">. </w:t>
      </w:r>
      <w:r w:rsidR="006248A7">
        <w:rPr>
          <w:rFonts w:asciiTheme="majorHAnsi" w:eastAsia="UnitSlabPro-Thin" w:hAnsiTheme="majorHAnsi" w:cstheme="majorHAnsi"/>
          <w:b/>
          <w:color w:val="000000"/>
        </w:rPr>
        <w:t>prosince</w:t>
      </w:r>
      <w:r w:rsidR="00C97C63" w:rsidRPr="005B77B3">
        <w:rPr>
          <w:rFonts w:asciiTheme="majorHAnsi" w:eastAsia="UnitSlabPro-Thin" w:hAnsiTheme="majorHAnsi" w:cstheme="majorHAnsi"/>
          <w:b/>
          <w:color w:val="000000"/>
        </w:rPr>
        <w:t xml:space="preserve"> 2022, </w:t>
      </w:r>
      <w:r w:rsidR="0079305B">
        <w:rPr>
          <w:rFonts w:asciiTheme="majorHAnsi" w:eastAsia="UnitSlabPro-Thin" w:hAnsiTheme="majorHAnsi" w:cstheme="majorHAnsi"/>
          <w:b/>
          <w:color w:val="000000"/>
        </w:rPr>
        <w:t>9</w:t>
      </w:r>
      <w:r w:rsidR="00C97C63" w:rsidRPr="005B77B3">
        <w:rPr>
          <w:rFonts w:asciiTheme="majorHAnsi" w:eastAsia="UnitSlabPro-Thin" w:hAnsiTheme="majorHAnsi" w:cstheme="majorHAnsi"/>
          <w:b/>
          <w:color w:val="000000"/>
        </w:rPr>
        <w:t>:00 – 1</w:t>
      </w:r>
      <w:r w:rsidR="0079305B">
        <w:rPr>
          <w:rFonts w:asciiTheme="majorHAnsi" w:eastAsia="UnitSlabPro-Thin" w:hAnsiTheme="majorHAnsi" w:cstheme="majorHAnsi"/>
          <w:b/>
          <w:color w:val="000000"/>
        </w:rPr>
        <w:t>2</w:t>
      </w:r>
      <w:r w:rsidR="00C97C63" w:rsidRPr="005B77B3">
        <w:rPr>
          <w:rFonts w:asciiTheme="majorHAnsi" w:eastAsia="UnitSlabPro-Thin" w:hAnsiTheme="majorHAnsi" w:cstheme="majorHAnsi"/>
          <w:b/>
          <w:color w:val="000000"/>
        </w:rPr>
        <w:t>:00</w:t>
      </w:r>
      <w:r w:rsidR="0095099C" w:rsidRPr="005B77B3">
        <w:rPr>
          <w:rFonts w:asciiTheme="majorHAnsi" w:eastAsia="UnitSlabPro-Thin" w:hAnsiTheme="majorHAnsi" w:cstheme="majorHAnsi"/>
          <w:b/>
          <w:color w:val="000000"/>
        </w:rPr>
        <w:t xml:space="preserve"> hodin</w:t>
      </w:r>
    </w:p>
    <w:p w14:paraId="7C4EC944" w14:textId="77777777" w:rsidR="0001784C" w:rsidRPr="005B77B3" w:rsidRDefault="0001784C" w:rsidP="42C30914">
      <w:pPr>
        <w:spacing w:before="240"/>
        <w:jc w:val="both"/>
        <w:rPr>
          <w:rStyle w:val="normaltextrun"/>
          <w:rFonts w:asciiTheme="majorHAnsi" w:hAnsiTheme="majorHAnsi" w:cstheme="majorHAnsi"/>
          <w:u w:val="single"/>
        </w:rPr>
      </w:pPr>
    </w:p>
    <w:p w14:paraId="73369CC7" w14:textId="6BA4E75F" w:rsidR="0001784C" w:rsidRPr="00B164AA" w:rsidRDefault="0001784C" w:rsidP="00B164AA">
      <w:pPr>
        <w:jc w:val="both"/>
        <w:rPr>
          <w:rStyle w:val="normaltextrun"/>
          <w:rFonts w:asciiTheme="majorHAnsi" w:eastAsia="UnitSlabPro-Thin" w:hAnsiTheme="majorHAnsi" w:cstheme="majorHAnsi"/>
        </w:rPr>
      </w:pPr>
      <w:r w:rsidRPr="005B77B3">
        <w:rPr>
          <w:rStyle w:val="normaltextrun"/>
          <w:rFonts w:asciiTheme="majorHAnsi" w:hAnsiTheme="majorHAnsi" w:cstheme="majorHAnsi"/>
          <w:u w:val="single"/>
        </w:rPr>
        <w:t>Pracovní skupin</w:t>
      </w:r>
      <w:r w:rsidR="00E804E4">
        <w:rPr>
          <w:rStyle w:val="normaltextrun"/>
          <w:rFonts w:asciiTheme="majorHAnsi" w:hAnsiTheme="majorHAnsi" w:cstheme="majorHAnsi"/>
          <w:u w:val="single"/>
        </w:rPr>
        <w:t>y</w:t>
      </w:r>
      <w:r w:rsidRPr="005B77B3">
        <w:rPr>
          <w:rStyle w:val="normaltextrun"/>
          <w:rFonts w:asciiTheme="majorHAnsi" w:hAnsiTheme="majorHAnsi" w:cstheme="majorHAnsi"/>
          <w:u w:val="single"/>
        </w:rPr>
        <w:t xml:space="preserve"> </w:t>
      </w:r>
      <w:r w:rsidR="005474A0" w:rsidRPr="005B77B3">
        <w:rPr>
          <w:rStyle w:val="normaltextrun"/>
          <w:rFonts w:asciiTheme="majorHAnsi" w:hAnsiTheme="majorHAnsi" w:cstheme="majorHAnsi"/>
          <w:u w:val="single"/>
        </w:rPr>
        <w:t>Vozidla</w:t>
      </w:r>
      <w:r w:rsidR="00D12E21">
        <w:rPr>
          <w:rStyle w:val="normaltextrun"/>
          <w:rFonts w:asciiTheme="majorHAnsi" w:hAnsiTheme="majorHAnsi" w:cstheme="majorHAnsi"/>
          <w:u w:val="single"/>
        </w:rPr>
        <w:t xml:space="preserve"> II a III</w:t>
      </w:r>
      <w:r w:rsidR="00B164AA">
        <w:rPr>
          <w:rStyle w:val="normaltextrun"/>
          <w:rFonts w:asciiTheme="majorHAnsi" w:hAnsiTheme="majorHAnsi" w:cstheme="majorHAnsi"/>
          <w:u w:val="single"/>
        </w:rPr>
        <w:t xml:space="preserve"> a </w:t>
      </w:r>
      <w:r w:rsidR="00B164AA" w:rsidRPr="005B77B3">
        <w:rPr>
          <w:rStyle w:val="normaltextrun"/>
          <w:rFonts w:asciiTheme="majorHAnsi" w:hAnsiTheme="majorHAnsi" w:cstheme="majorHAnsi"/>
          <w:u w:val="single"/>
        </w:rPr>
        <w:t>Plnící a dobíjecí stanice</w:t>
      </w:r>
      <w:r w:rsidR="00B164AA">
        <w:rPr>
          <w:rStyle w:val="normaltextrun"/>
          <w:rFonts w:asciiTheme="majorHAnsi" w:hAnsiTheme="majorHAnsi" w:cstheme="majorHAnsi"/>
          <w:u w:val="single"/>
        </w:rPr>
        <w:t xml:space="preserve"> II a III</w:t>
      </w:r>
    </w:p>
    <w:p w14:paraId="72662BD0" w14:textId="3071DF6D" w:rsidR="00E40127" w:rsidRPr="00BF725C" w:rsidRDefault="00C97C63" w:rsidP="42C30914">
      <w:pPr>
        <w:spacing w:before="240"/>
        <w:jc w:val="both"/>
        <w:rPr>
          <w:rFonts w:asciiTheme="majorHAnsi" w:eastAsia="UnitSlabPro-Thin" w:hAnsiTheme="majorHAnsi" w:cstheme="majorBidi"/>
        </w:rPr>
      </w:pPr>
      <w:r w:rsidRPr="1D574D12">
        <w:rPr>
          <w:rFonts w:asciiTheme="majorHAnsi" w:eastAsia="UnitSlabPro-Thin" w:hAnsiTheme="majorHAnsi" w:cstheme="majorBidi"/>
        </w:rPr>
        <w:t xml:space="preserve">Na úvod všechny přítomné odborníky i zástupce </w:t>
      </w:r>
      <w:r w:rsidR="5E09E1F6" w:rsidRPr="1D574D12">
        <w:rPr>
          <w:rFonts w:asciiTheme="majorHAnsi" w:eastAsia="UnitSlabPro-Thin" w:hAnsiTheme="majorHAnsi" w:cstheme="majorBidi"/>
        </w:rPr>
        <w:t>předkla</w:t>
      </w:r>
      <w:r w:rsidRPr="1D574D12">
        <w:rPr>
          <w:rFonts w:asciiTheme="majorHAnsi" w:eastAsia="UnitSlabPro-Thin" w:hAnsiTheme="majorHAnsi" w:cstheme="majorBidi"/>
        </w:rPr>
        <w:t xml:space="preserve">datelů přivítala </w:t>
      </w:r>
      <w:r w:rsidR="00EF06A6" w:rsidRPr="1D574D12">
        <w:rPr>
          <w:rFonts w:asciiTheme="majorHAnsi" w:eastAsia="UnitSlabPro-Thin" w:hAnsiTheme="majorHAnsi" w:cstheme="majorBidi"/>
        </w:rPr>
        <w:t>koordinátorka strategie</w:t>
      </w:r>
      <w:r w:rsidRPr="1D574D12">
        <w:rPr>
          <w:rFonts w:asciiTheme="majorHAnsi" w:eastAsia="UnitSlabPro-Thin" w:hAnsiTheme="majorHAnsi" w:cstheme="majorBidi"/>
        </w:rPr>
        <w:t xml:space="preserve"> ITI Kristina Hapková Kleinwächterová. Nejprve stručně představila výkonný tým ITI a </w:t>
      </w:r>
      <w:r w:rsidR="14E292D9" w:rsidRPr="1D574D12">
        <w:rPr>
          <w:rFonts w:asciiTheme="majorHAnsi" w:eastAsia="UnitSlabPro-Thin" w:hAnsiTheme="majorHAnsi" w:cstheme="majorBidi"/>
        </w:rPr>
        <w:t xml:space="preserve">samotný </w:t>
      </w:r>
      <w:r w:rsidRPr="1D574D12">
        <w:rPr>
          <w:rFonts w:asciiTheme="majorHAnsi" w:eastAsia="UnitSlabPro-Thin" w:hAnsiTheme="majorHAnsi" w:cstheme="majorBidi"/>
        </w:rPr>
        <w:t>nástroj ITI, přičemž bylo zdůrazněno, že nejde o „změkčení“ podmínek nastavených Integrovaným regionálním operačním programem (IROP), ale o zohlednění územní dimenze a rezervaci určité části alokace pro územně zaměřené projekty</w:t>
      </w:r>
      <w:r w:rsidR="4362FE7A" w:rsidRPr="1D574D12">
        <w:rPr>
          <w:rFonts w:asciiTheme="majorHAnsi" w:eastAsia="UnitSlabPro-Thin" w:hAnsiTheme="majorHAnsi" w:cstheme="majorBidi"/>
        </w:rPr>
        <w:t>.</w:t>
      </w:r>
      <w:r w:rsidRPr="1D574D12">
        <w:rPr>
          <w:rFonts w:asciiTheme="majorHAnsi" w:eastAsia="UnitSlabPro-Thin" w:hAnsiTheme="majorHAnsi" w:cstheme="majorBidi"/>
        </w:rPr>
        <w:t xml:space="preserve"> Ve výzv</w:t>
      </w:r>
      <w:r w:rsidR="007B33B4" w:rsidRPr="1D574D12">
        <w:rPr>
          <w:rFonts w:asciiTheme="majorHAnsi" w:eastAsia="UnitSlabPro-Thin" w:hAnsiTheme="majorHAnsi" w:cstheme="majorBidi"/>
        </w:rPr>
        <w:t>ách</w:t>
      </w:r>
      <w:r w:rsidRPr="1D574D12">
        <w:rPr>
          <w:rFonts w:asciiTheme="majorHAnsi" w:eastAsia="UnitSlabPro-Thin" w:hAnsiTheme="majorHAnsi" w:cstheme="majorBidi"/>
        </w:rPr>
        <w:t xml:space="preserve"> nositele č. </w:t>
      </w:r>
      <w:r w:rsidR="007B33B4">
        <w:t>12</w:t>
      </w:r>
      <w:r w:rsidR="006B252F">
        <w:t>:</w:t>
      </w:r>
      <w:r w:rsidR="007B33B4">
        <w:t xml:space="preserve"> </w:t>
      </w:r>
      <w:r w:rsidR="007B33B4" w:rsidRPr="1D574D12">
        <w:rPr>
          <w:i/>
        </w:rPr>
        <w:t>Nízkoemisní a bezemisní vozidla pro veřejnou dopravu II</w:t>
      </w:r>
      <w:r w:rsidR="00261A53">
        <w:rPr>
          <w:i/>
        </w:rPr>
        <w:t>,</w:t>
      </w:r>
      <w:r w:rsidR="000B5D93" w:rsidRPr="1D574D12">
        <w:rPr>
          <w:rFonts w:asciiTheme="majorHAnsi" w:eastAsia="UnitSlabPro-Thin" w:hAnsiTheme="majorHAnsi" w:cstheme="majorBidi"/>
        </w:rPr>
        <w:t xml:space="preserve"> </w:t>
      </w:r>
      <w:r w:rsidR="007B33B4">
        <w:t xml:space="preserve">17: </w:t>
      </w:r>
      <w:r w:rsidR="007B33B4" w:rsidRPr="1D574D12">
        <w:rPr>
          <w:i/>
        </w:rPr>
        <w:t xml:space="preserve">Nízkoemisní a bezemisní vozidla pro veřejnou dopravu III </w:t>
      </w:r>
      <w:r w:rsidR="25EFD8D2" w:rsidRPr="1D574D12">
        <w:rPr>
          <w:rFonts w:asciiTheme="majorHAnsi" w:eastAsia="UnitSlabPro-Thin" w:hAnsiTheme="majorHAnsi" w:cstheme="majorBidi"/>
        </w:rPr>
        <w:t>i ve výzv</w:t>
      </w:r>
      <w:r w:rsidR="006B252F" w:rsidRPr="1D574D12">
        <w:rPr>
          <w:rFonts w:asciiTheme="majorHAnsi" w:eastAsia="UnitSlabPro-Thin" w:hAnsiTheme="majorHAnsi" w:cstheme="majorBidi"/>
        </w:rPr>
        <w:t>ách</w:t>
      </w:r>
      <w:r w:rsidR="25EFD8D2" w:rsidRPr="1D574D12">
        <w:rPr>
          <w:rFonts w:asciiTheme="majorHAnsi" w:eastAsia="UnitSlabPro-Thin" w:hAnsiTheme="majorHAnsi" w:cstheme="majorBidi"/>
        </w:rPr>
        <w:t xml:space="preserve"> č. </w:t>
      </w:r>
      <w:r w:rsidR="00EB15F2">
        <w:t>13</w:t>
      </w:r>
      <w:r w:rsidR="006B252F">
        <w:t>:</w:t>
      </w:r>
      <w:r w:rsidR="00EB15F2">
        <w:t xml:space="preserve"> </w:t>
      </w:r>
      <w:r w:rsidR="00EB15F2" w:rsidRPr="1D574D12">
        <w:rPr>
          <w:i/>
        </w:rPr>
        <w:t xml:space="preserve">Plnící a dobíjecí stanice pro veřejnou dopravu II, </w:t>
      </w:r>
      <w:r w:rsidR="00EB15F2">
        <w:t xml:space="preserve">16: </w:t>
      </w:r>
      <w:r w:rsidR="00EB15F2" w:rsidRPr="1D574D12">
        <w:rPr>
          <w:i/>
        </w:rPr>
        <w:t>Plnící a dobíjecí stanice pro veřejnou dopravu III</w:t>
      </w:r>
      <w:r w:rsidR="00EB15F2">
        <w:t xml:space="preserve"> </w:t>
      </w:r>
      <w:r w:rsidRPr="1D574D12">
        <w:rPr>
          <w:rFonts w:asciiTheme="majorHAnsi" w:eastAsia="UnitSlabPro-Thin" w:hAnsiTheme="majorHAnsi" w:cstheme="majorBidi"/>
        </w:rPr>
        <w:t>se jedná konkrétně o území Pražské metropolitní oblasti (PMO) mimo území hl. m. Prahy. Došlo k mírné změně</w:t>
      </w:r>
      <w:r w:rsidR="023301CF" w:rsidRPr="1D574D12">
        <w:rPr>
          <w:rFonts w:asciiTheme="majorHAnsi" w:eastAsia="UnitSlabPro-Thin" w:hAnsiTheme="majorHAnsi" w:cstheme="majorBidi"/>
        </w:rPr>
        <w:t xml:space="preserve"> </w:t>
      </w:r>
      <w:r w:rsidRPr="1D574D12">
        <w:rPr>
          <w:rFonts w:asciiTheme="majorHAnsi" w:eastAsia="UnitSlabPro-Thin" w:hAnsiTheme="majorHAnsi" w:cstheme="majorBidi"/>
        </w:rPr>
        <w:t>ve vymezení PMO,</w:t>
      </w:r>
      <w:r w:rsidR="49F4B301" w:rsidRPr="1D574D12">
        <w:rPr>
          <w:rFonts w:asciiTheme="majorHAnsi" w:eastAsia="UnitSlabPro-Thin" w:hAnsiTheme="majorHAnsi" w:cstheme="majorBidi"/>
        </w:rPr>
        <w:t xml:space="preserve"> </w:t>
      </w:r>
      <w:r w:rsidRPr="1D574D12">
        <w:rPr>
          <w:rFonts w:asciiTheme="majorHAnsi" w:eastAsia="UnitSlabPro-Thin" w:hAnsiTheme="majorHAnsi" w:cstheme="majorBidi"/>
        </w:rPr>
        <w:t xml:space="preserve">která byla členům pracovní skupiny i </w:t>
      </w:r>
      <w:r w:rsidR="57A34B92" w:rsidRPr="1D574D12">
        <w:rPr>
          <w:rFonts w:asciiTheme="majorHAnsi" w:eastAsia="UnitSlabPro-Thin" w:hAnsiTheme="majorHAnsi" w:cstheme="majorBidi"/>
        </w:rPr>
        <w:t>předkl</w:t>
      </w:r>
      <w:r w:rsidRPr="1D574D12">
        <w:rPr>
          <w:rFonts w:asciiTheme="majorHAnsi" w:eastAsia="UnitSlabPro-Thin" w:hAnsiTheme="majorHAnsi" w:cstheme="majorBidi"/>
        </w:rPr>
        <w:t>adatelům představena</w:t>
      </w:r>
      <w:r w:rsidR="79246EE7" w:rsidRPr="1D574D12">
        <w:rPr>
          <w:rFonts w:asciiTheme="majorHAnsi" w:eastAsia="UnitSlabPro-Thin" w:hAnsiTheme="majorHAnsi" w:cstheme="majorBidi"/>
        </w:rPr>
        <w:t xml:space="preserve"> na mapě</w:t>
      </w:r>
      <w:r w:rsidRPr="1D574D12">
        <w:rPr>
          <w:rFonts w:asciiTheme="majorHAnsi" w:eastAsia="UnitSlabPro-Thin" w:hAnsiTheme="majorHAnsi" w:cstheme="majorBidi"/>
        </w:rPr>
        <w:t xml:space="preserve">. </w:t>
      </w:r>
    </w:p>
    <w:p w14:paraId="50CCE0EF" w14:textId="56D0B043" w:rsidR="2BF45D84" w:rsidRPr="00BF725C" w:rsidRDefault="2BF45D84" w:rsidP="42C30914">
      <w:pPr>
        <w:jc w:val="both"/>
        <w:rPr>
          <w:rFonts w:asciiTheme="majorHAnsi" w:eastAsia="Arial" w:hAnsiTheme="majorHAnsi" w:cstheme="majorBidi"/>
          <w:color w:val="000000" w:themeColor="text1"/>
        </w:rPr>
      </w:pPr>
      <w:r w:rsidRPr="1D574D12">
        <w:rPr>
          <w:rStyle w:val="normaltextrun"/>
          <w:rFonts w:asciiTheme="majorHAnsi" w:eastAsia="Arial" w:hAnsiTheme="majorHAnsi" w:cstheme="majorBidi"/>
          <w:color w:val="000000" w:themeColor="text1"/>
        </w:rPr>
        <w:t>V rámci ITI musí předkladatelé, na rozdíl od předkládání projektů do individuálních výzev, projít procesem hodnocení souladu projektu s Integrovanou strategií pro ITI (</w:t>
      </w:r>
      <w:proofErr w:type="spellStart"/>
      <w:r w:rsidRPr="1D574D12">
        <w:rPr>
          <w:rStyle w:val="normaltextrun"/>
          <w:rFonts w:asciiTheme="majorHAnsi" w:eastAsia="Arial" w:hAnsiTheme="majorHAnsi" w:cstheme="majorBidi"/>
          <w:color w:val="000000" w:themeColor="text1"/>
        </w:rPr>
        <w:t>ISg</w:t>
      </w:r>
      <w:proofErr w:type="spellEnd"/>
      <w:r w:rsidRPr="1D574D12">
        <w:rPr>
          <w:rStyle w:val="normaltextrun"/>
          <w:rFonts w:asciiTheme="majorHAnsi" w:eastAsia="Arial" w:hAnsiTheme="majorHAnsi" w:cstheme="majorBidi"/>
          <w:color w:val="000000" w:themeColor="text1"/>
        </w:rPr>
        <w:t xml:space="preserve"> ITI) a zařazením na příslušný programový rámec (PR). Projektový záměr musí projít kontrolou na úrovni výkonného týmu nositele ITI (formální hodnocení), pracovní skupiny a Řídicího výboru (ŘV) ITI PMO a následně schválením v ZHMP a Řídicím orgánem. </w:t>
      </w:r>
    </w:p>
    <w:p w14:paraId="24A805BC" w14:textId="5ABD6077" w:rsidR="2BF45D84" w:rsidRPr="005B77B3" w:rsidRDefault="2BF45D84" w:rsidP="149FC473">
      <w:pPr>
        <w:spacing w:before="240"/>
        <w:jc w:val="both"/>
        <w:rPr>
          <w:rFonts w:asciiTheme="majorHAnsi" w:hAnsiTheme="majorHAnsi" w:cstheme="majorBidi"/>
        </w:rPr>
      </w:pPr>
      <w:r w:rsidRPr="149FC473">
        <w:rPr>
          <w:rStyle w:val="normaltextrun"/>
          <w:rFonts w:asciiTheme="majorHAnsi" w:eastAsia="Arial" w:hAnsiTheme="majorHAnsi" w:cstheme="majorBidi"/>
          <w:color w:val="000000" w:themeColor="text1"/>
        </w:rPr>
        <w:t>Vyjádření Řídicího výboru ITI získá žadatel až po absolvování výše uvedeného procesu a po podání</w:t>
      </w:r>
      <w:r w:rsidRPr="149FC473">
        <w:rPr>
          <w:rStyle w:val="normaltextrun"/>
          <w:rFonts w:asciiTheme="majorHAnsi" w:eastAsia="Segoe UI" w:hAnsiTheme="majorHAnsi" w:cstheme="majorBidi"/>
          <w:color w:val="000000" w:themeColor="text1"/>
        </w:rPr>
        <w:t xml:space="preserve"> žádosti</w:t>
      </w:r>
      <w:r w:rsidRPr="149FC473">
        <w:rPr>
          <w:rStyle w:val="normaltextrun"/>
          <w:rFonts w:asciiTheme="majorHAnsi" w:eastAsia="Arial" w:hAnsiTheme="majorHAnsi" w:cstheme="majorBidi"/>
          <w:color w:val="000000" w:themeColor="text1"/>
        </w:rPr>
        <w:t xml:space="preserve"> o jeho vydání před podáním p</w:t>
      </w:r>
      <w:r w:rsidR="2E04139F" w:rsidRPr="149FC473">
        <w:rPr>
          <w:rStyle w:val="normaltextrun"/>
          <w:rFonts w:asciiTheme="majorHAnsi" w:eastAsia="Arial" w:hAnsiTheme="majorHAnsi" w:cstheme="majorBidi"/>
          <w:color w:val="000000" w:themeColor="text1"/>
        </w:rPr>
        <w:t>rojektové žádosti</w:t>
      </w:r>
      <w:r w:rsidRPr="149FC473">
        <w:rPr>
          <w:rStyle w:val="normaltextrun"/>
          <w:rFonts w:asciiTheme="majorHAnsi" w:eastAsia="Arial" w:hAnsiTheme="majorHAnsi" w:cstheme="majorBidi"/>
          <w:color w:val="000000" w:themeColor="text1"/>
        </w:rPr>
        <w:t xml:space="preserve"> do výzvy Řídicího orgánu (Vyjádření Řídicího výboru je povinnou přílohou </w:t>
      </w:r>
      <w:r w:rsidR="587A7403" w:rsidRPr="149FC473">
        <w:rPr>
          <w:rStyle w:val="normaltextrun"/>
          <w:rFonts w:asciiTheme="majorHAnsi" w:eastAsia="Arial" w:hAnsiTheme="majorHAnsi" w:cstheme="majorBidi"/>
          <w:color w:val="000000" w:themeColor="text1"/>
        </w:rPr>
        <w:t>ž</w:t>
      </w:r>
      <w:r w:rsidRPr="149FC473">
        <w:rPr>
          <w:rStyle w:val="normaltextrun"/>
          <w:rFonts w:asciiTheme="majorHAnsi" w:eastAsia="Arial" w:hAnsiTheme="majorHAnsi" w:cstheme="majorBidi"/>
          <w:color w:val="000000" w:themeColor="text1"/>
        </w:rPr>
        <w:t xml:space="preserve">ádosti o podporu).  Následný proces hodnocení </w:t>
      </w:r>
      <w:r w:rsidR="00A64177" w:rsidRPr="149FC473">
        <w:rPr>
          <w:rStyle w:val="normaltextrun"/>
          <w:rFonts w:asciiTheme="majorHAnsi" w:eastAsia="Arial" w:hAnsiTheme="majorHAnsi" w:cstheme="majorBidi"/>
          <w:color w:val="000000" w:themeColor="text1"/>
        </w:rPr>
        <w:t>ž</w:t>
      </w:r>
      <w:r w:rsidRPr="149FC473">
        <w:rPr>
          <w:rStyle w:val="normaltextrun"/>
          <w:rFonts w:asciiTheme="majorHAnsi" w:eastAsia="Arial" w:hAnsiTheme="majorHAnsi" w:cstheme="majorBidi"/>
          <w:color w:val="000000" w:themeColor="text1"/>
        </w:rPr>
        <w:t xml:space="preserve">ádosti o podporu na úrovni Řídicího orgánu (ŘO) probíhá stejně jako u individuálních výzev. Zástupci žadatele byli upozorněni, že Řídicí orgán IROP v hodnocení akceptuje pouze souladné vyjádření </w:t>
      </w:r>
      <w:r w:rsidR="0013160B" w:rsidRPr="149FC473">
        <w:rPr>
          <w:rStyle w:val="normaltextrun"/>
          <w:rFonts w:asciiTheme="majorHAnsi" w:eastAsia="Arial" w:hAnsiTheme="majorHAnsi" w:cstheme="majorBidi"/>
          <w:color w:val="000000" w:themeColor="text1"/>
        </w:rPr>
        <w:t>Ř</w:t>
      </w:r>
      <w:r w:rsidRPr="149FC473">
        <w:rPr>
          <w:rStyle w:val="normaltextrun"/>
          <w:rFonts w:asciiTheme="majorHAnsi" w:eastAsia="Arial" w:hAnsiTheme="majorHAnsi" w:cstheme="majorBidi"/>
          <w:color w:val="000000" w:themeColor="text1"/>
        </w:rPr>
        <w:t xml:space="preserve">ídicího výboru ITI. Dále byli upozorněni, že údaje uvedené v žádosti o </w:t>
      </w:r>
      <w:r w:rsidR="00D83371" w:rsidRPr="149FC473">
        <w:rPr>
          <w:rStyle w:val="normaltextrun"/>
          <w:rFonts w:asciiTheme="majorHAnsi" w:eastAsia="Arial" w:hAnsiTheme="majorHAnsi" w:cstheme="majorBidi"/>
          <w:color w:val="000000" w:themeColor="text1"/>
        </w:rPr>
        <w:t>podporu</w:t>
      </w:r>
      <w:r w:rsidRPr="149FC473">
        <w:rPr>
          <w:rStyle w:val="normaltextrun"/>
          <w:rFonts w:asciiTheme="majorHAnsi" w:eastAsia="Arial" w:hAnsiTheme="majorHAnsi" w:cstheme="majorBidi"/>
          <w:color w:val="000000" w:themeColor="text1"/>
        </w:rPr>
        <w:t xml:space="preserve"> se nesmí lišit od údajů uvedených v projektovém záměru.</w:t>
      </w:r>
    </w:p>
    <w:p w14:paraId="28D12F3F" w14:textId="5AB82E00" w:rsidR="005447BB" w:rsidRPr="005B77B3" w:rsidRDefault="008A0904" w:rsidP="149FC473">
      <w:pPr>
        <w:jc w:val="both"/>
        <w:rPr>
          <w:rFonts w:asciiTheme="majorHAnsi" w:eastAsia="UnitSlabPro-Thin" w:hAnsiTheme="majorHAnsi" w:cstheme="majorBidi"/>
        </w:rPr>
      </w:pPr>
      <w:r w:rsidRPr="149FC473">
        <w:rPr>
          <w:rFonts w:asciiTheme="majorHAnsi" w:eastAsia="UnitSlabPro-Thin" w:hAnsiTheme="majorHAnsi" w:cstheme="majorBidi"/>
        </w:rPr>
        <w:t>Do výzev č. 12 a 17 byly předloženy</w:t>
      </w:r>
      <w:r w:rsidR="00C97C63" w:rsidRPr="149FC473">
        <w:rPr>
          <w:rFonts w:asciiTheme="majorHAnsi" w:eastAsia="UnitSlabPro-Thin" w:hAnsiTheme="majorHAnsi" w:cstheme="majorBidi"/>
        </w:rPr>
        <w:t xml:space="preserve"> </w:t>
      </w:r>
      <w:r w:rsidRPr="149FC473">
        <w:rPr>
          <w:rFonts w:asciiTheme="majorHAnsi" w:eastAsia="UnitSlabPro-Thin" w:hAnsiTheme="majorHAnsi" w:cstheme="majorBidi"/>
        </w:rPr>
        <w:t>2</w:t>
      </w:r>
      <w:r w:rsidR="00C97C63" w:rsidRPr="149FC473">
        <w:rPr>
          <w:rFonts w:asciiTheme="majorHAnsi" w:eastAsia="UnitSlabPro-Thin" w:hAnsiTheme="majorHAnsi" w:cstheme="majorBidi"/>
        </w:rPr>
        <w:t xml:space="preserve"> projektové záměry</w:t>
      </w:r>
      <w:r w:rsidR="00DF3679" w:rsidRPr="149FC473">
        <w:rPr>
          <w:rFonts w:asciiTheme="majorHAnsi" w:eastAsia="UnitSlabPro-Thin" w:hAnsiTheme="majorHAnsi" w:cstheme="majorBidi"/>
        </w:rPr>
        <w:t>, jejichž s</w:t>
      </w:r>
      <w:r w:rsidR="00C97C63" w:rsidRPr="149FC473">
        <w:rPr>
          <w:rFonts w:asciiTheme="majorHAnsi" w:eastAsia="UnitSlabPro-Thin" w:hAnsiTheme="majorHAnsi" w:cstheme="majorBidi"/>
        </w:rPr>
        <w:t>ouhrnn</w:t>
      </w:r>
      <w:r w:rsidR="00DF3679" w:rsidRPr="149FC473">
        <w:rPr>
          <w:rFonts w:asciiTheme="majorHAnsi" w:eastAsia="UnitSlabPro-Thin" w:hAnsiTheme="majorHAnsi" w:cstheme="majorBidi"/>
        </w:rPr>
        <w:t>á</w:t>
      </w:r>
      <w:r w:rsidR="00C97C63" w:rsidRPr="149FC473">
        <w:rPr>
          <w:rFonts w:asciiTheme="majorHAnsi" w:eastAsia="UnitSlabPro-Thin" w:hAnsiTheme="majorHAnsi" w:cstheme="majorBidi"/>
        </w:rPr>
        <w:t xml:space="preserve"> výš</w:t>
      </w:r>
      <w:r w:rsidR="00DF3679" w:rsidRPr="149FC473">
        <w:rPr>
          <w:rFonts w:asciiTheme="majorHAnsi" w:eastAsia="UnitSlabPro-Thin" w:hAnsiTheme="majorHAnsi" w:cstheme="majorBidi"/>
        </w:rPr>
        <w:t>e</w:t>
      </w:r>
      <w:r w:rsidR="00C97C63" w:rsidRPr="149FC473">
        <w:rPr>
          <w:rFonts w:asciiTheme="majorHAnsi" w:eastAsia="UnitSlabPro-Thin" w:hAnsiTheme="majorHAnsi" w:cstheme="majorBidi"/>
        </w:rPr>
        <w:t xml:space="preserve"> požadované dotace z ERDF</w:t>
      </w:r>
      <w:r w:rsidR="43F3A1D5" w:rsidRPr="149FC473">
        <w:rPr>
          <w:rFonts w:asciiTheme="majorHAnsi" w:eastAsia="UnitSlabPro-Thin" w:hAnsiTheme="majorHAnsi" w:cstheme="majorBidi"/>
        </w:rPr>
        <w:t xml:space="preserve"> </w:t>
      </w:r>
      <w:r w:rsidR="00DF3679" w:rsidRPr="149FC473">
        <w:rPr>
          <w:rFonts w:asciiTheme="majorHAnsi" w:eastAsia="UnitSlabPro-Thin" w:hAnsiTheme="majorHAnsi" w:cstheme="majorBidi"/>
        </w:rPr>
        <w:t xml:space="preserve">je </w:t>
      </w:r>
      <w:r w:rsidR="007E02E2" w:rsidRPr="149FC473">
        <w:rPr>
          <w:rFonts w:asciiTheme="majorHAnsi" w:eastAsia="UnitSlabPro-Thin" w:hAnsiTheme="majorHAnsi" w:cstheme="majorBidi"/>
        </w:rPr>
        <w:t>46</w:t>
      </w:r>
      <w:r w:rsidR="00CC278F" w:rsidRPr="149FC473">
        <w:rPr>
          <w:rFonts w:asciiTheme="majorHAnsi" w:eastAsia="UnitSlabPro-Thin" w:hAnsiTheme="majorHAnsi" w:cstheme="majorBidi"/>
        </w:rPr>
        <w:t> </w:t>
      </w:r>
      <w:r w:rsidR="007E02E2" w:rsidRPr="149FC473">
        <w:rPr>
          <w:rFonts w:asciiTheme="majorHAnsi" w:eastAsia="UnitSlabPro-Thin" w:hAnsiTheme="majorHAnsi" w:cstheme="majorBidi"/>
        </w:rPr>
        <w:t>2</w:t>
      </w:r>
      <w:r w:rsidR="00CC278F" w:rsidRPr="149FC473">
        <w:rPr>
          <w:rFonts w:asciiTheme="majorHAnsi" w:eastAsia="UnitSlabPro-Thin" w:hAnsiTheme="majorHAnsi" w:cstheme="majorBidi"/>
        </w:rPr>
        <w:t>00 000</w:t>
      </w:r>
      <w:r w:rsidR="00385977" w:rsidRPr="149FC473">
        <w:rPr>
          <w:rFonts w:asciiTheme="majorHAnsi" w:eastAsia="UnitSlabPro-Thin" w:hAnsiTheme="majorHAnsi" w:cstheme="majorBidi"/>
        </w:rPr>
        <w:t> </w:t>
      </w:r>
      <w:r w:rsidR="00C97C63" w:rsidRPr="149FC473">
        <w:rPr>
          <w:rFonts w:asciiTheme="majorHAnsi" w:eastAsia="UnitSlabPro-Thin" w:hAnsiTheme="majorHAnsi" w:cstheme="majorBidi"/>
        </w:rPr>
        <w:t>Kč</w:t>
      </w:r>
      <w:r w:rsidR="00DF3679" w:rsidRPr="149FC473">
        <w:rPr>
          <w:rFonts w:asciiTheme="majorHAnsi" w:eastAsia="UnitSlabPro-Thin" w:hAnsiTheme="majorHAnsi" w:cstheme="majorBidi"/>
        </w:rPr>
        <w:t>. A</w:t>
      </w:r>
      <w:r w:rsidR="00C97C63" w:rsidRPr="149FC473">
        <w:rPr>
          <w:rFonts w:asciiTheme="majorHAnsi" w:eastAsia="UnitSlabPro-Thin" w:hAnsiTheme="majorHAnsi" w:cstheme="majorBidi"/>
        </w:rPr>
        <w:t>lokace výz</w:t>
      </w:r>
      <w:r w:rsidR="00C732FF" w:rsidRPr="149FC473">
        <w:rPr>
          <w:rFonts w:asciiTheme="majorHAnsi" w:eastAsia="UnitSlabPro-Thin" w:hAnsiTheme="majorHAnsi" w:cstheme="majorBidi"/>
        </w:rPr>
        <w:t>v</w:t>
      </w:r>
      <w:r w:rsidR="7162EC26" w:rsidRPr="149FC473">
        <w:rPr>
          <w:rFonts w:asciiTheme="majorHAnsi" w:eastAsia="UnitSlabPro-Thin" w:hAnsiTheme="majorHAnsi" w:cstheme="majorBidi"/>
        </w:rPr>
        <w:t>y</w:t>
      </w:r>
      <w:r w:rsidR="00C97C63" w:rsidRPr="149FC473">
        <w:rPr>
          <w:rFonts w:asciiTheme="majorHAnsi" w:eastAsia="UnitSlabPro-Thin" w:hAnsiTheme="majorHAnsi" w:cstheme="majorBidi"/>
        </w:rPr>
        <w:t xml:space="preserve"> je </w:t>
      </w:r>
      <w:r w:rsidR="00601FFD" w:rsidRPr="149FC473">
        <w:rPr>
          <w:rFonts w:asciiTheme="majorHAnsi" w:eastAsia="UnitSlabPro-Thin" w:hAnsiTheme="majorHAnsi" w:cstheme="majorBidi"/>
        </w:rPr>
        <w:t xml:space="preserve">48 161 496,08 </w:t>
      </w:r>
      <w:r w:rsidR="00C97C63" w:rsidRPr="149FC473">
        <w:rPr>
          <w:rFonts w:asciiTheme="majorHAnsi" w:eastAsia="UnitSlabPro-Thin" w:hAnsiTheme="majorHAnsi" w:cstheme="majorBidi"/>
        </w:rPr>
        <w:t>Kč</w:t>
      </w:r>
      <w:r w:rsidR="00957A48" w:rsidRPr="149FC473">
        <w:rPr>
          <w:rFonts w:asciiTheme="majorHAnsi" w:eastAsia="UnitSlabPro-Thin" w:hAnsiTheme="majorHAnsi" w:cstheme="majorBidi"/>
        </w:rPr>
        <w:t>.</w:t>
      </w:r>
      <w:r w:rsidR="00C97C63" w:rsidRPr="149FC473">
        <w:rPr>
          <w:rFonts w:asciiTheme="majorHAnsi" w:eastAsia="UnitSlabPro-Thin" w:hAnsiTheme="majorHAnsi" w:cstheme="majorBidi"/>
        </w:rPr>
        <w:t xml:space="preserve"> </w:t>
      </w:r>
      <w:r w:rsidR="00957A48" w:rsidRPr="149FC473">
        <w:rPr>
          <w:rFonts w:asciiTheme="majorHAnsi" w:eastAsia="UnitSlabPro-Thin" w:hAnsiTheme="majorHAnsi" w:cstheme="majorBidi"/>
        </w:rPr>
        <w:t>J</w:t>
      </w:r>
      <w:r w:rsidR="00C97C63" w:rsidRPr="149FC473">
        <w:rPr>
          <w:rFonts w:asciiTheme="majorHAnsi" w:eastAsia="UnitSlabPro-Thin" w:hAnsiTheme="majorHAnsi" w:cstheme="majorBidi"/>
        </w:rPr>
        <w:t xml:space="preserve">e </w:t>
      </w:r>
      <w:r w:rsidR="002754FE" w:rsidRPr="149FC473">
        <w:rPr>
          <w:rFonts w:asciiTheme="majorHAnsi" w:eastAsia="UnitSlabPro-Thin" w:hAnsiTheme="majorHAnsi" w:cstheme="majorBidi"/>
        </w:rPr>
        <w:t xml:space="preserve">tedy </w:t>
      </w:r>
      <w:r w:rsidR="00C97C63" w:rsidRPr="149FC473">
        <w:rPr>
          <w:rFonts w:asciiTheme="majorHAnsi" w:eastAsia="UnitSlabPro-Thin" w:hAnsiTheme="majorHAnsi" w:cstheme="majorBidi"/>
        </w:rPr>
        <w:t xml:space="preserve">možné podpořit </w:t>
      </w:r>
      <w:r w:rsidR="00A16BDD" w:rsidRPr="149FC473">
        <w:rPr>
          <w:rFonts w:asciiTheme="majorHAnsi" w:eastAsia="UnitSlabPro-Thin" w:hAnsiTheme="majorHAnsi" w:cstheme="majorBidi"/>
        </w:rPr>
        <w:t xml:space="preserve">oba </w:t>
      </w:r>
      <w:r w:rsidR="00C97C63" w:rsidRPr="149FC473">
        <w:rPr>
          <w:rFonts w:asciiTheme="majorHAnsi" w:eastAsia="UnitSlabPro-Thin" w:hAnsiTheme="majorHAnsi" w:cstheme="majorBidi"/>
        </w:rPr>
        <w:t>předložené projektové záměry, jež jsou dle p</w:t>
      </w:r>
      <w:r w:rsidR="674AF3A0" w:rsidRPr="149FC473">
        <w:rPr>
          <w:rFonts w:asciiTheme="majorHAnsi" w:eastAsia="UnitSlabPro-Thin" w:hAnsiTheme="majorHAnsi" w:cstheme="majorBidi"/>
        </w:rPr>
        <w:t>ředběžného posouzení</w:t>
      </w:r>
      <w:r w:rsidR="00C97C63" w:rsidRPr="149FC473">
        <w:rPr>
          <w:rFonts w:asciiTheme="majorHAnsi" w:eastAsia="UnitSlabPro-Thin" w:hAnsiTheme="majorHAnsi" w:cstheme="majorBidi"/>
        </w:rPr>
        <w:t xml:space="preserve"> výkonným týmem nositele</w:t>
      </w:r>
      <w:r w:rsidR="00957A48" w:rsidRPr="149FC473">
        <w:rPr>
          <w:rFonts w:asciiTheme="majorHAnsi" w:eastAsia="UnitSlabPro-Thin" w:hAnsiTheme="majorHAnsi" w:cstheme="majorBidi"/>
        </w:rPr>
        <w:t xml:space="preserve"> ITI</w:t>
      </w:r>
      <w:r w:rsidR="00C97C63" w:rsidRPr="149FC473">
        <w:rPr>
          <w:rFonts w:asciiTheme="majorHAnsi" w:eastAsia="UnitSlabPro-Thin" w:hAnsiTheme="majorHAnsi" w:cstheme="majorBidi"/>
        </w:rPr>
        <w:t xml:space="preserve"> v souladu </w:t>
      </w:r>
      <w:r w:rsidR="00957A48" w:rsidRPr="149FC473">
        <w:rPr>
          <w:rFonts w:asciiTheme="majorHAnsi" w:eastAsia="UnitSlabPro-Thin" w:hAnsiTheme="majorHAnsi" w:cstheme="majorBidi"/>
        </w:rPr>
        <w:t xml:space="preserve">se Strategií ITI </w:t>
      </w:r>
      <w:r w:rsidR="002543ED" w:rsidRPr="149FC473">
        <w:rPr>
          <w:rFonts w:asciiTheme="majorHAnsi" w:eastAsia="UnitSlabPro-Thin" w:hAnsiTheme="majorHAnsi" w:cstheme="majorBidi"/>
        </w:rPr>
        <w:t xml:space="preserve">PMO a hodnotícími </w:t>
      </w:r>
      <w:r w:rsidR="00C97C63" w:rsidRPr="149FC473">
        <w:rPr>
          <w:rFonts w:asciiTheme="majorHAnsi" w:eastAsia="UnitSlabPro-Thin" w:hAnsiTheme="majorHAnsi" w:cstheme="majorBidi"/>
        </w:rPr>
        <w:t>kritérii</w:t>
      </w:r>
      <w:r w:rsidR="002543ED" w:rsidRPr="149FC473">
        <w:rPr>
          <w:rFonts w:asciiTheme="majorHAnsi" w:eastAsia="UnitSlabPro-Thin" w:hAnsiTheme="majorHAnsi" w:cstheme="majorBidi"/>
        </w:rPr>
        <w:t xml:space="preserve"> uvedenými ve výzvě</w:t>
      </w:r>
      <w:r w:rsidR="00C97C63" w:rsidRPr="149FC473">
        <w:rPr>
          <w:rFonts w:asciiTheme="majorHAnsi" w:eastAsia="UnitSlabPro-Thin" w:hAnsiTheme="majorHAnsi" w:cstheme="majorBidi"/>
        </w:rPr>
        <w:t xml:space="preserve">. </w:t>
      </w:r>
    </w:p>
    <w:p w14:paraId="28CC5010" w14:textId="35340C86" w:rsidR="00E40127" w:rsidRPr="005B77B3" w:rsidRDefault="00C97C63" w:rsidP="00957A48">
      <w:pPr>
        <w:jc w:val="both"/>
        <w:rPr>
          <w:rFonts w:asciiTheme="majorHAnsi" w:eastAsia="UnitSlabPro-Thin" w:hAnsiTheme="majorHAnsi" w:cstheme="majorHAnsi"/>
        </w:rPr>
      </w:pPr>
      <w:r w:rsidRPr="005B77B3">
        <w:rPr>
          <w:rFonts w:asciiTheme="majorHAnsi" w:eastAsia="UnitSlabPro-Thin" w:hAnsiTheme="majorHAnsi" w:cstheme="majorHAnsi"/>
        </w:rPr>
        <w:t>Následně byl dán prostor pro představení jednotlivých projektových záměrů.</w:t>
      </w:r>
    </w:p>
    <w:p w14:paraId="41283068" w14:textId="0F0C1CAC" w:rsidR="00E40127" w:rsidRPr="005B77B3" w:rsidRDefault="001D1D9A" w:rsidP="00957A4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UnitSlabPro-Thin" w:hAnsiTheme="majorHAnsi" w:cstheme="majorHAnsi"/>
          <w:color w:val="000000"/>
        </w:rPr>
      </w:pPr>
      <w:r w:rsidRPr="001D1D9A">
        <w:rPr>
          <w:rFonts w:asciiTheme="majorHAnsi" w:eastAsia="UnitSlabPro-Thin" w:hAnsiTheme="majorHAnsi" w:cstheme="majorHAnsi"/>
          <w:b/>
          <w:color w:val="000000"/>
        </w:rPr>
        <w:t>Nákup 2ks elektrobusů</w:t>
      </w:r>
      <w:r>
        <w:rPr>
          <w:rFonts w:asciiTheme="majorHAnsi" w:eastAsia="UnitSlabPro-Thin" w:hAnsiTheme="majorHAnsi" w:cstheme="majorHAnsi"/>
          <w:b/>
          <w:color w:val="000000"/>
        </w:rPr>
        <w:t xml:space="preserve"> </w:t>
      </w:r>
      <w:r w:rsidR="005F016F">
        <w:rPr>
          <w:rFonts w:asciiTheme="majorHAnsi" w:eastAsia="UnitSlabPro-Thin" w:hAnsiTheme="majorHAnsi" w:cstheme="majorHAnsi"/>
          <w:b/>
          <w:color w:val="000000"/>
        </w:rPr>
        <w:t xml:space="preserve">ITI Praha </w:t>
      </w:r>
      <w:r w:rsidR="00C97C63" w:rsidRPr="005B77B3">
        <w:rPr>
          <w:rFonts w:asciiTheme="majorHAnsi" w:eastAsia="UnitSlabPro-Thin" w:hAnsiTheme="majorHAnsi" w:cstheme="majorHAnsi"/>
          <w:color w:val="000000"/>
        </w:rPr>
        <w:t xml:space="preserve">– žadatel </w:t>
      </w:r>
      <w:r w:rsidR="00E84B38">
        <w:rPr>
          <w:rFonts w:asciiTheme="majorHAnsi" w:eastAsia="UnitSlabPro-Thin" w:hAnsiTheme="majorHAnsi" w:cstheme="majorHAnsi"/>
          <w:color w:val="000000"/>
        </w:rPr>
        <w:t>ČS</w:t>
      </w:r>
      <w:r w:rsidR="00C97C63" w:rsidRPr="005B77B3">
        <w:rPr>
          <w:rFonts w:asciiTheme="majorHAnsi" w:eastAsia="UnitSlabPro-Thin" w:hAnsiTheme="majorHAnsi" w:cstheme="majorHAnsi"/>
          <w:color w:val="000000"/>
        </w:rPr>
        <w:t>AD Střední Čechy</w:t>
      </w:r>
      <w:r w:rsidR="00C97C63" w:rsidRPr="005B77B3">
        <w:rPr>
          <w:rFonts w:asciiTheme="majorHAnsi" w:eastAsia="UnitSlabPro-Thin" w:hAnsiTheme="majorHAnsi" w:cstheme="majorHAnsi"/>
        </w:rPr>
        <w:t xml:space="preserve">, </w:t>
      </w:r>
      <w:r w:rsidR="00257760">
        <w:rPr>
          <w:rFonts w:asciiTheme="majorHAnsi" w:eastAsia="UnitSlabPro-Thin" w:hAnsiTheme="majorHAnsi" w:cstheme="majorHAnsi"/>
        </w:rPr>
        <w:t>a.s</w:t>
      </w:r>
      <w:r w:rsidR="00C97C63" w:rsidRPr="005B77B3">
        <w:rPr>
          <w:rFonts w:asciiTheme="majorHAnsi" w:eastAsia="UnitSlabPro-Thin" w:hAnsiTheme="majorHAnsi" w:cstheme="majorHAnsi"/>
        </w:rPr>
        <w:t xml:space="preserve">. </w:t>
      </w:r>
      <w:r w:rsidR="005447BB" w:rsidRPr="00F03DE0">
        <w:rPr>
          <w:rFonts w:asciiTheme="majorHAnsi" w:eastAsia="UnitSlabPro-Thin" w:hAnsiTheme="majorHAnsi" w:cstheme="majorHAnsi"/>
        </w:rPr>
        <w:t>–</w:t>
      </w:r>
      <w:r w:rsidR="00C97C63" w:rsidRPr="00F03DE0">
        <w:rPr>
          <w:rFonts w:asciiTheme="majorHAnsi" w:eastAsia="UnitSlabPro-Thin" w:hAnsiTheme="majorHAnsi" w:cstheme="majorHAnsi"/>
        </w:rPr>
        <w:t xml:space="preserve"> </w:t>
      </w:r>
      <w:r w:rsidR="005447BB" w:rsidRPr="00F03DE0">
        <w:rPr>
          <w:rFonts w:asciiTheme="majorHAnsi" w:eastAsia="UnitSlabPro-Thin" w:hAnsiTheme="majorHAnsi" w:cstheme="majorHAnsi"/>
        </w:rPr>
        <w:t xml:space="preserve">předkladatel </w:t>
      </w:r>
      <w:r w:rsidR="00C97C63" w:rsidRPr="00F03DE0">
        <w:rPr>
          <w:rFonts w:asciiTheme="majorHAnsi" w:eastAsia="UnitSlabPro-Thin" w:hAnsiTheme="majorHAnsi" w:cstheme="majorHAnsi"/>
        </w:rPr>
        <w:t>představ</w:t>
      </w:r>
      <w:r w:rsidR="005447BB" w:rsidRPr="00F03DE0">
        <w:rPr>
          <w:rFonts w:asciiTheme="majorHAnsi" w:eastAsia="UnitSlabPro-Thin" w:hAnsiTheme="majorHAnsi" w:cstheme="majorHAnsi"/>
        </w:rPr>
        <w:t>il</w:t>
      </w:r>
      <w:r w:rsidR="00C97C63" w:rsidRPr="00F03DE0">
        <w:rPr>
          <w:rFonts w:asciiTheme="majorHAnsi" w:eastAsia="UnitSlabPro-Thin" w:hAnsiTheme="majorHAnsi" w:cstheme="majorHAnsi"/>
        </w:rPr>
        <w:t xml:space="preserve"> projekt</w:t>
      </w:r>
      <w:r w:rsidR="00BB2C97" w:rsidRPr="00F03DE0">
        <w:rPr>
          <w:rFonts w:asciiTheme="majorHAnsi" w:eastAsia="UnitSlabPro-Thin" w:hAnsiTheme="majorHAnsi" w:cstheme="majorHAnsi"/>
        </w:rPr>
        <w:t>ový záměr</w:t>
      </w:r>
      <w:r w:rsidR="005F79CF">
        <w:rPr>
          <w:rFonts w:asciiTheme="majorHAnsi" w:eastAsia="UnitSlabPro-Thin" w:hAnsiTheme="majorHAnsi" w:cstheme="majorHAnsi"/>
        </w:rPr>
        <w:t xml:space="preserve"> – </w:t>
      </w:r>
      <w:r w:rsidR="0049590E">
        <w:rPr>
          <w:rFonts w:asciiTheme="majorHAnsi" w:eastAsia="UnitSlabPro-Thin" w:hAnsiTheme="majorHAnsi" w:cstheme="majorHAnsi"/>
        </w:rPr>
        <w:t>pořízení 2 nízkoe</w:t>
      </w:r>
      <w:r w:rsidR="00616C45">
        <w:rPr>
          <w:rFonts w:asciiTheme="majorHAnsi" w:eastAsia="UnitSlabPro-Thin" w:hAnsiTheme="majorHAnsi" w:cstheme="majorHAnsi"/>
        </w:rPr>
        <w:t>misních nízkopodlažních autobusů</w:t>
      </w:r>
      <w:r w:rsidR="007D33D0">
        <w:rPr>
          <w:rFonts w:asciiTheme="majorHAnsi" w:eastAsia="UnitSlabPro-Thin" w:hAnsiTheme="majorHAnsi" w:cstheme="majorHAnsi"/>
        </w:rPr>
        <w:t xml:space="preserve"> s elektro pohonem</w:t>
      </w:r>
      <w:r w:rsidR="00EE3F41">
        <w:rPr>
          <w:rFonts w:asciiTheme="majorHAnsi" w:eastAsia="UnitSlabPro-Thin" w:hAnsiTheme="majorHAnsi" w:cstheme="majorHAnsi"/>
        </w:rPr>
        <w:t xml:space="preserve"> pro oblast Mělník.</w:t>
      </w:r>
      <w:r w:rsidR="007D33D0">
        <w:rPr>
          <w:rFonts w:asciiTheme="majorHAnsi" w:eastAsia="UnitSlabPro-Thin" w:hAnsiTheme="majorHAnsi" w:cstheme="majorHAnsi"/>
        </w:rPr>
        <w:t xml:space="preserve"> </w:t>
      </w:r>
      <w:r w:rsidR="008179DD" w:rsidRPr="005B77B3">
        <w:rPr>
          <w:rFonts w:asciiTheme="majorHAnsi" w:eastAsia="UnitSlabPro-Thin" w:hAnsiTheme="majorHAnsi" w:cstheme="majorHAnsi"/>
        </w:rPr>
        <w:t xml:space="preserve"> </w:t>
      </w:r>
    </w:p>
    <w:p w14:paraId="3DD5E145" w14:textId="3A564D6E" w:rsidR="00E40127" w:rsidRPr="005B77B3" w:rsidRDefault="00C92D24" w:rsidP="00957A4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UnitSlabPro-Thin" w:hAnsiTheme="majorHAnsi" w:cstheme="majorHAnsi"/>
          <w:color w:val="000000"/>
        </w:rPr>
      </w:pPr>
      <w:r w:rsidRPr="00C92D24">
        <w:rPr>
          <w:rFonts w:asciiTheme="majorHAnsi" w:eastAsia="UnitSlabPro-Thin" w:hAnsiTheme="majorHAnsi" w:cstheme="majorHAnsi"/>
          <w:b/>
        </w:rPr>
        <w:t xml:space="preserve">Elektrobus MHD Kladno 2022 </w:t>
      </w:r>
      <w:r>
        <w:rPr>
          <w:rFonts w:asciiTheme="majorHAnsi" w:eastAsia="UnitSlabPro-Thin" w:hAnsiTheme="majorHAnsi" w:cstheme="majorHAnsi"/>
          <w:b/>
        </w:rPr>
        <w:t>–</w:t>
      </w:r>
      <w:r w:rsidRPr="00C92D24">
        <w:rPr>
          <w:rFonts w:asciiTheme="majorHAnsi" w:eastAsia="UnitSlabPro-Thin" w:hAnsiTheme="majorHAnsi" w:cstheme="majorHAnsi"/>
          <w:b/>
        </w:rPr>
        <w:t xml:space="preserve"> 2</w:t>
      </w:r>
      <w:r>
        <w:rPr>
          <w:rFonts w:asciiTheme="majorHAnsi" w:eastAsia="UnitSlabPro-Thin" w:hAnsiTheme="majorHAnsi" w:cstheme="majorHAnsi"/>
          <w:b/>
        </w:rPr>
        <w:t xml:space="preserve"> </w:t>
      </w:r>
      <w:r w:rsidR="00C97C63" w:rsidRPr="005B77B3">
        <w:rPr>
          <w:rFonts w:asciiTheme="majorHAnsi" w:eastAsia="UnitSlabPro-Thin" w:hAnsiTheme="majorHAnsi" w:cstheme="majorHAnsi"/>
          <w:color w:val="000000"/>
        </w:rPr>
        <w:t xml:space="preserve">– žadatel ČSAD MHD Kladno a.s. </w:t>
      </w:r>
      <w:r w:rsidR="00E27FED" w:rsidRPr="005B77B3">
        <w:rPr>
          <w:rFonts w:asciiTheme="majorHAnsi" w:eastAsia="UnitSlabPro-Thin" w:hAnsiTheme="majorHAnsi" w:cstheme="majorHAnsi"/>
          <w:color w:val="000000"/>
        </w:rPr>
        <w:t xml:space="preserve">– </w:t>
      </w:r>
      <w:r w:rsidR="00C97C63" w:rsidRPr="00F03DE0">
        <w:rPr>
          <w:rFonts w:asciiTheme="majorHAnsi" w:eastAsia="UnitSlabPro-Thin" w:hAnsiTheme="majorHAnsi" w:cstheme="majorHAnsi"/>
          <w:color w:val="000000"/>
        </w:rPr>
        <w:t>představeny základní informace o projekt</w:t>
      </w:r>
      <w:r w:rsidR="00C97C63" w:rsidRPr="00F03DE0">
        <w:rPr>
          <w:rFonts w:asciiTheme="majorHAnsi" w:eastAsia="UnitSlabPro-Thin" w:hAnsiTheme="majorHAnsi" w:cstheme="majorHAnsi"/>
        </w:rPr>
        <w:t>ovém záměru</w:t>
      </w:r>
      <w:r w:rsidR="005F79CF">
        <w:rPr>
          <w:rFonts w:asciiTheme="majorHAnsi" w:eastAsia="UnitSlabPro-Thin" w:hAnsiTheme="majorHAnsi" w:cstheme="majorHAnsi"/>
        </w:rPr>
        <w:t xml:space="preserve"> – pořízení </w:t>
      </w:r>
      <w:r w:rsidR="00C11285">
        <w:rPr>
          <w:rFonts w:asciiTheme="majorHAnsi" w:eastAsia="UnitSlabPro-Thin" w:hAnsiTheme="majorHAnsi" w:cstheme="majorHAnsi"/>
        </w:rPr>
        <w:t>3</w:t>
      </w:r>
      <w:r w:rsidR="00D7274D" w:rsidRPr="00D7274D">
        <w:rPr>
          <w:rFonts w:asciiTheme="majorHAnsi" w:eastAsia="UnitSlabPro-Thin" w:hAnsiTheme="majorHAnsi" w:cstheme="majorHAnsi"/>
        </w:rPr>
        <w:t xml:space="preserve"> standardních</w:t>
      </w:r>
      <w:r w:rsidR="00FD51E0" w:rsidRPr="00D7274D">
        <w:rPr>
          <w:rFonts w:asciiTheme="majorHAnsi" w:eastAsia="UnitSlabPro-Thin" w:hAnsiTheme="majorHAnsi" w:cstheme="majorHAnsi"/>
        </w:rPr>
        <w:t xml:space="preserve"> elektrobusů</w:t>
      </w:r>
      <w:r w:rsidR="00C97C63" w:rsidRPr="00D7274D">
        <w:rPr>
          <w:rFonts w:asciiTheme="majorHAnsi" w:eastAsia="UnitSlabPro-Thin" w:hAnsiTheme="majorHAnsi" w:cstheme="majorHAnsi"/>
        </w:rPr>
        <w:t xml:space="preserve">, </w:t>
      </w:r>
      <w:r w:rsidR="00D7274D" w:rsidRPr="00D7274D">
        <w:rPr>
          <w:rFonts w:asciiTheme="majorHAnsi" w:eastAsia="UnitSlabPro-Thin" w:hAnsiTheme="majorHAnsi" w:cstheme="majorHAnsi"/>
        </w:rPr>
        <w:t xml:space="preserve">které budou nasazeny na </w:t>
      </w:r>
      <w:r w:rsidR="00C11285">
        <w:rPr>
          <w:rFonts w:asciiTheme="majorHAnsi" w:eastAsia="UnitSlabPro-Thin" w:hAnsiTheme="majorHAnsi" w:cstheme="majorHAnsi"/>
        </w:rPr>
        <w:t xml:space="preserve">páteřních </w:t>
      </w:r>
      <w:r w:rsidR="00D7274D" w:rsidRPr="00D7274D">
        <w:rPr>
          <w:rFonts w:asciiTheme="majorHAnsi" w:eastAsia="UnitSlabPro-Thin" w:hAnsiTheme="majorHAnsi" w:cstheme="majorHAnsi"/>
        </w:rPr>
        <w:t>linkách</w:t>
      </w:r>
      <w:r w:rsidR="00B879F6">
        <w:rPr>
          <w:rFonts w:asciiTheme="majorHAnsi" w:eastAsia="UnitSlabPro-Thin" w:hAnsiTheme="majorHAnsi" w:cstheme="majorHAnsi"/>
        </w:rPr>
        <w:t xml:space="preserve"> městské dopravy</w:t>
      </w:r>
      <w:r w:rsidR="00D7274D" w:rsidRPr="00D7274D">
        <w:rPr>
          <w:rFonts w:asciiTheme="majorHAnsi" w:eastAsia="UnitSlabPro-Thin" w:hAnsiTheme="majorHAnsi" w:cstheme="majorHAnsi"/>
        </w:rPr>
        <w:t>.​</w:t>
      </w:r>
    </w:p>
    <w:p w14:paraId="795BB61A" w14:textId="77777777" w:rsidR="00F03DE0" w:rsidRDefault="00F03DE0" w:rsidP="00957A48">
      <w:pPr>
        <w:jc w:val="both"/>
        <w:rPr>
          <w:rFonts w:asciiTheme="majorHAnsi" w:eastAsia="UnitSlabPro-Thin" w:hAnsiTheme="majorHAnsi" w:cstheme="majorHAnsi"/>
        </w:rPr>
      </w:pPr>
    </w:p>
    <w:p w14:paraId="70CA922B" w14:textId="1F43713B" w:rsidR="00E40127" w:rsidRPr="005B77B3" w:rsidRDefault="00010D2B" w:rsidP="00957A48">
      <w:pPr>
        <w:jc w:val="both"/>
        <w:rPr>
          <w:rFonts w:asciiTheme="majorHAnsi" w:eastAsia="UnitSlabPro-Thin" w:hAnsiTheme="majorHAnsi" w:cstheme="majorHAnsi"/>
        </w:rPr>
      </w:pPr>
      <w:r>
        <w:rPr>
          <w:rFonts w:asciiTheme="majorHAnsi" w:eastAsia="UnitSlabPro-Thin" w:hAnsiTheme="majorHAnsi" w:cstheme="majorHAnsi"/>
        </w:rPr>
        <w:t>Dále byly p</w:t>
      </w:r>
      <w:r w:rsidR="00C97C63" w:rsidRPr="005B77B3">
        <w:rPr>
          <w:rFonts w:asciiTheme="majorHAnsi" w:eastAsia="UnitSlabPro-Thin" w:hAnsiTheme="majorHAnsi" w:cstheme="majorHAnsi"/>
        </w:rPr>
        <w:t>ředloženy 2 projektové záměry</w:t>
      </w:r>
      <w:r w:rsidR="00882C33">
        <w:rPr>
          <w:rFonts w:asciiTheme="majorHAnsi" w:eastAsia="UnitSlabPro-Thin" w:hAnsiTheme="majorHAnsi" w:cstheme="majorHAnsi"/>
        </w:rPr>
        <w:t xml:space="preserve"> do výzev č. 13 a 16</w:t>
      </w:r>
      <w:r w:rsidR="00C97C63" w:rsidRPr="005B77B3">
        <w:rPr>
          <w:rFonts w:asciiTheme="majorHAnsi" w:eastAsia="UnitSlabPro-Thin" w:hAnsiTheme="majorHAnsi" w:cstheme="majorHAnsi"/>
        </w:rPr>
        <w:t xml:space="preserve"> v souhrnné výši požadované dotace z ERDF </w:t>
      </w:r>
      <w:r w:rsidR="00E26679">
        <w:rPr>
          <w:rFonts w:asciiTheme="majorHAnsi" w:eastAsia="UnitSlabPro-Thin" w:hAnsiTheme="majorHAnsi" w:cstheme="majorHAnsi"/>
        </w:rPr>
        <w:t xml:space="preserve">65 100 000 </w:t>
      </w:r>
      <w:r w:rsidR="00C97C63" w:rsidRPr="005B77B3">
        <w:rPr>
          <w:rFonts w:asciiTheme="majorHAnsi" w:eastAsia="UnitSlabPro-Thin" w:hAnsiTheme="majorHAnsi" w:cstheme="majorHAnsi"/>
        </w:rPr>
        <w:t>Kč, přičemž alokace výz</w:t>
      </w:r>
      <w:r w:rsidR="00E26679">
        <w:rPr>
          <w:rFonts w:asciiTheme="majorHAnsi" w:eastAsia="UnitSlabPro-Thin" w:hAnsiTheme="majorHAnsi" w:cstheme="majorHAnsi"/>
        </w:rPr>
        <w:t>ev</w:t>
      </w:r>
      <w:r w:rsidR="00C97C63" w:rsidRPr="005B77B3">
        <w:rPr>
          <w:rFonts w:asciiTheme="majorHAnsi" w:eastAsia="UnitSlabPro-Thin" w:hAnsiTheme="majorHAnsi" w:cstheme="majorHAnsi"/>
        </w:rPr>
        <w:t xml:space="preserve"> je </w:t>
      </w:r>
      <w:r w:rsidR="00B045E2" w:rsidRPr="00B045E2">
        <w:rPr>
          <w:rFonts w:asciiTheme="majorHAnsi" w:eastAsia="UnitSlabPro-Thin" w:hAnsiTheme="majorHAnsi" w:cstheme="majorHAnsi"/>
        </w:rPr>
        <w:t>78</w:t>
      </w:r>
      <w:r w:rsidR="00B045E2">
        <w:rPr>
          <w:rFonts w:asciiTheme="majorHAnsi" w:eastAsia="UnitSlabPro-Thin" w:hAnsiTheme="majorHAnsi" w:cstheme="majorHAnsi"/>
        </w:rPr>
        <w:t xml:space="preserve"> </w:t>
      </w:r>
      <w:r w:rsidR="00B045E2" w:rsidRPr="00B045E2">
        <w:rPr>
          <w:rFonts w:asciiTheme="majorHAnsi" w:eastAsia="UnitSlabPro-Thin" w:hAnsiTheme="majorHAnsi" w:cstheme="majorHAnsi"/>
        </w:rPr>
        <w:t>048</w:t>
      </w:r>
      <w:r w:rsidR="00B045E2">
        <w:rPr>
          <w:rFonts w:asciiTheme="majorHAnsi" w:eastAsia="UnitSlabPro-Thin" w:hAnsiTheme="majorHAnsi" w:cstheme="majorHAnsi"/>
        </w:rPr>
        <w:t xml:space="preserve"> </w:t>
      </w:r>
      <w:r w:rsidR="00B045E2" w:rsidRPr="00B045E2">
        <w:rPr>
          <w:rFonts w:asciiTheme="majorHAnsi" w:eastAsia="UnitSlabPro-Thin" w:hAnsiTheme="majorHAnsi" w:cstheme="majorHAnsi"/>
        </w:rPr>
        <w:t>428</w:t>
      </w:r>
      <w:r w:rsidR="00B045E2">
        <w:rPr>
          <w:rFonts w:asciiTheme="majorHAnsi" w:eastAsia="UnitSlabPro-Thin" w:hAnsiTheme="majorHAnsi" w:cstheme="majorHAnsi"/>
        </w:rPr>
        <w:t>,</w:t>
      </w:r>
      <w:r w:rsidR="00B045E2" w:rsidRPr="00B045E2">
        <w:rPr>
          <w:rFonts w:asciiTheme="majorHAnsi" w:eastAsia="UnitSlabPro-Thin" w:hAnsiTheme="majorHAnsi" w:cstheme="majorHAnsi"/>
        </w:rPr>
        <w:t xml:space="preserve">18 </w:t>
      </w:r>
      <w:r w:rsidR="00C97C63" w:rsidRPr="005B77B3">
        <w:rPr>
          <w:rFonts w:asciiTheme="majorHAnsi" w:eastAsia="UnitSlabPro-Thin" w:hAnsiTheme="majorHAnsi" w:cstheme="majorHAnsi"/>
        </w:rPr>
        <w:t>Kč a je tedy možné podpořit oba projektové záměry, které byl</w:t>
      </w:r>
      <w:r w:rsidR="00AA7DF2" w:rsidRPr="005B77B3">
        <w:rPr>
          <w:rFonts w:asciiTheme="majorHAnsi" w:eastAsia="UnitSlabPro-Thin" w:hAnsiTheme="majorHAnsi" w:cstheme="majorHAnsi"/>
        </w:rPr>
        <w:t>y</w:t>
      </w:r>
      <w:r w:rsidR="00C97C63" w:rsidRPr="005B77B3">
        <w:rPr>
          <w:rFonts w:asciiTheme="majorHAnsi" w:eastAsia="UnitSlabPro-Thin" w:hAnsiTheme="majorHAnsi" w:cstheme="majorHAnsi"/>
        </w:rPr>
        <w:t xml:space="preserve"> p</w:t>
      </w:r>
      <w:r w:rsidR="5DB82E97" w:rsidRPr="005B77B3">
        <w:rPr>
          <w:rFonts w:asciiTheme="majorHAnsi" w:eastAsia="UnitSlabPro-Thin" w:hAnsiTheme="majorHAnsi" w:cstheme="majorHAnsi"/>
        </w:rPr>
        <w:t>ředběžně posouzeny</w:t>
      </w:r>
      <w:r w:rsidR="00C97C63" w:rsidRPr="005B77B3">
        <w:rPr>
          <w:rFonts w:asciiTheme="majorHAnsi" w:eastAsia="UnitSlabPro-Thin" w:hAnsiTheme="majorHAnsi" w:cstheme="majorHAnsi"/>
        </w:rPr>
        <w:t xml:space="preserve"> výkonným týmem nositele ITI dle hodnotících kritérií</w:t>
      </w:r>
      <w:r w:rsidR="00FE7CA5" w:rsidRPr="005B77B3">
        <w:rPr>
          <w:rFonts w:asciiTheme="majorHAnsi" w:eastAsia="UnitSlabPro-Thin" w:hAnsiTheme="majorHAnsi" w:cstheme="majorHAnsi"/>
        </w:rPr>
        <w:t xml:space="preserve"> uvedených ve výzvě a vyhodnocení souladu se Strategií ITI PMO</w:t>
      </w:r>
      <w:r w:rsidR="00C97C63" w:rsidRPr="005B77B3">
        <w:rPr>
          <w:rFonts w:asciiTheme="majorHAnsi" w:eastAsia="UnitSlabPro-Thin" w:hAnsiTheme="majorHAnsi" w:cstheme="majorHAnsi"/>
        </w:rPr>
        <w:t xml:space="preserve">. </w:t>
      </w:r>
    </w:p>
    <w:p w14:paraId="265672C2" w14:textId="77777777" w:rsidR="00E40127" w:rsidRPr="005B77B3" w:rsidRDefault="00C97C63" w:rsidP="00957A48">
      <w:pPr>
        <w:jc w:val="both"/>
        <w:rPr>
          <w:rFonts w:asciiTheme="majorHAnsi" w:eastAsia="UnitSlabPro-Thin" w:hAnsiTheme="majorHAnsi" w:cstheme="majorHAnsi"/>
        </w:rPr>
      </w:pPr>
      <w:r w:rsidRPr="005B77B3">
        <w:rPr>
          <w:rFonts w:asciiTheme="majorHAnsi" w:eastAsia="UnitSlabPro-Thin" w:hAnsiTheme="majorHAnsi" w:cstheme="majorHAnsi"/>
        </w:rPr>
        <w:t>Následně byl dán prostor pro představení jednotlivých projektových záměrů.</w:t>
      </w:r>
    </w:p>
    <w:p w14:paraId="5D7D4F1F" w14:textId="74D535B2" w:rsidR="00E40127" w:rsidRPr="00386818" w:rsidRDefault="009D1347" w:rsidP="00957A48">
      <w:pPr>
        <w:numPr>
          <w:ilvl w:val="0"/>
          <w:numId w:val="2"/>
        </w:numPr>
        <w:jc w:val="both"/>
        <w:rPr>
          <w:rFonts w:asciiTheme="majorHAnsi" w:eastAsia="UnitSlabPro-Thin" w:hAnsiTheme="majorHAnsi" w:cstheme="majorHAnsi"/>
        </w:rPr>
      </w:pPr>
      <w:r w:rsidRPr="009D1347">
        <w:rPr>
          <w:rFonts w:asciiTheme="majorHAnsi" w:eastAsia="UnitSlabPro-Thin" w:hAnsiTheme="majorHAnsi" w:cstheme="majorHAnsi"/>
          <w:b/>
        </w:rPr>
        <w:t xml:space="preserve">Dobíjecí stanice pro veřejnou dopravu </w:t>
      </w:r>
      <w:r w:rsidR="00A50338" w:rsidRPr="009D1347">
        <w:rPr>
          <w:rFonts w:asciiTheme="majorHAnsi" w:eastAsia="UnitSlabPro-Thin" w:hAnsiTheme="majorHAnsi" w:cstheme="majorHAnsi"/>
          <w:b/>
        </w:rPr>
        <w:t>PMO – Mělník</w:t>
      </w:r>
      <w:r w:rsidRPr="009D1347">
        <w:rPr>
          <w:rFonts w:asciiTheme="majorHAnsi" w:eastAsia="UnitSlabPro-Thin" w:hAnsiTheme="majorHAnsi" w:cstheme="majorHAnsi"/>
          <w:b/>
        </w:rPr>
        <w:t>, Stará Boleslav</w:t>
      </w:r>
      <w:r w:rsidR="00C97C63" w:rsidRPr="005B77B3">
        <w:rPr>
          <w:rFonts w:asciiTheme="majorHAnsi" w:eastAsia="UnitSlabPro-Thin" w:hAnsiTheme="majorHAnsi" w:cstheme="majorHAnsi"/>
          <w:b/>
        </w:rPr>
        <w:t xml:space="preserve"> </w:t>
      </w:r>
      <w:r w:rsidR="005044FC">
        <w:rPr>
          <w:rFonts w:asciiTheme="majorHAnsi" w:eastAsia="UnitSlabPro-Thin" w:hAnsiTheme="majorHAnsi" w:cstheme="majorHAnsi"/>
        </w:rPr>
        <w:t xml:space="preserve">– </w:t>
      </w:r>
      <w:r w:rsidR="00C97C63" w:rsidRPr="005B77B3">
        <w:rPr>
          <w:rFonts w:asciiTheme="majorHAnsi" w:eastAsia="UnitSlabPro-Thin" w:hAnsiTheme="majorHAnsi" w:cstheme="majorHAnsi"/>
        </w:rPr>
        <w:t xml:space="preserve">žadatel </w:t>
      </w:r>
      <w:r w:rsidR="00386818" w:rsidRPr="005B77B3">
        <w:rPr>
          <w:rFonts w:asciiTheme="majorHAnsi" w:eastAsia="UnitSlabPro-Thin" w:hAnsiTheme="majorHAnsi" w:cstheme="majorHAnsi"/>
        </w:rPr>
        <w:t xml:space="preserve">AD Střední Čechy, s.r.o. </w:t>
      </w:r>
      <w:r w:rsidR="00B20CE4">
        <w:rPr>
          <w:rFonts w:asciiTheme="majorHAnsi" w:eastAsia="UnitSlabPro-Thin" w:hAnsiTheme="majorHAnsi" w:cstheme="majorHAnsi"/>
        </w:rPr>
        <w:t xml:space="preserve">– představení projektu: </w:t>
      </w:r>
      <w:r w:rsidR="005E258D">
        <w:rPr>
          <w:rFonts w:asciiTheme="majorHAnsi" w:eastAsia="UnitSlabPro-Thin" w:hAnsiTheme="majorHAnsi" w:cstheme="majorHAnsi"/>
        </w:rPr>
        <w:t xml:space="preserve">v oblasti Mělník se jedná o </w:t>
      </w:r>
      <w:r w:rsidR="00046809">
        <w:rPr>
          <w:rFonts w:asciiTheme="majorHAnsi" w:eastAsia="UnitSlabPro-Thin" w:hAnsiTheme="majorHAnsi" w:cstheme="majorHAnsi"/>
        </w:rPr>
        <w:t>5 dobíjecích stanic pro pomalé dobíjení a 1</w:t>
      </w:r>
      <w:r w:rsidR="005E258D">
        <w:rPr>
          <w:rFonts w:asciiTheme="majorHAnsi" w:eastAsia="UnitSlabPro-Thin" w:hAnsiTheme="majorHAnsi" w:cstheme="majorHAnsi"/>
        </w:rPr>
        <w:t xml:space="preserve"> dobíjecí stanice pro rychlé nabíjení, v oblasti Stará Boleslav bude </w:t>
      </w:r>
      <w:r w:rsidR="0065621C">
        <w:rPr>
          <w:rFonts w:asciiTheme="majorHAnsi" w:eastAsia="UnitSlabPro-Thin" w:hAnsiTheme="majorHAnsi" w:cstheme="majorHAnsi"/>
        </w:rPr>
        <w:t>vybudováno</w:t>
      </w:r>
      <w:r w:rsidR="00384085">
        <w:rPr>
          <w:rFonts w:asciiTheme="majorHAnsi" w:eastAsia="UnitSlabPro-Thin" w:hAnsiTheme="majorHAnsi" w:cstheme="majorHAnsi"/>
        </w:rPr>
        <w:t xml:space="preserve"> 9</w:t>
      </w:r>
      <w:r w:rsidR="002837B7">
        <w:rPr>
          <w:rFonts w:asciiTheme="majorHAnsi" w:eastAsia="UnitSlabPro-Thin" w:hAnsiTheme="majorHAnsi" w:cstheme="majorHAnsi"/>
        </w:rPr>
        <w:t xml:space="preserve"> dobíjecí</w:t>
      </w:r>
      <w:r w:rsidR="00384085">
        <w:rPr>
          <w:rFonts w:asciiTheme="majorHAnsi" w:eastAsia="UnitSlabPro-Thin" w:hAnsiTheme="majorHAnsi" w:cstheme="majorHAnsi"/>
        </w:rPr>
        <w:t>ch</w:t>
      </w:r>
      <w:r w:rsidR="002837B7">
        <w:rPr>
          <w:rFonts w:asciiTheme="majorHAnsi" w:eastAsia="UnitSlabPro-Thin" w:hAnsiTheme="majorHAnsi" w:cstheme="majorHAnsi"/>
        </w:rPr>
        <w:t xml:space="preserve"> stanic pro pomalé nabíjení a 2 pro rychlé dobíjení. </w:t>
      </w:r>
    </w:p>
    <w:p w14:paraId="1EC9EA1E" w14:textId="774C9C64" w:rsidR="005E15BC" w:rsidRPr="005E15BC" w:rsidRDefault="00C97C63" w:rsidP="005E15BC">
      <w:pPr>
        <w:numPr>
          <w:ilvl w:val="0"/>
          <w:numId w:val="2"/>
        </w:numPr>
        <w:jc w:val="both"/>
        <w:rPr>
          <w:rFonts w:asciiTheme="majorHAnsi" w:eastAsia="UnitSlabPro-Thin" w:hAnsiTheme="majorHAnsi" w:cstheme="majorHAnsi"/>
        </w:rPr>
      </w:pPr>
      <w:r w:rsidRPr="005B77B3">
        <w:rPr>
          <w:rFonts w:asciiTheme="majorHAnsi" w:eastAsia="UnitSlabPro-Thin" w:hAnsiTheme="majorHAnsi" w:cstheme="majorHAnsi"/>
          <w:b/>
        </w:rPr>
        <w:t>Dobíjecí</w:t>
      </w:r>
      <w:r w:rsidR="005044FC">
        <w:rPr>
          <w:rFonts w:asciiTheme="majorHAnsi" w:eastAsia="UnitSlabPro-Thin" w:hAnsiTheme="majorHAnsi" w:cstheme="majorHAnsi"/>
          <w:b/>
        </w:rPr>
        <w:t xml:space="preserve"> infrastruktura MHD Kladno 2022 – 2 </w:t>
      </w:r>
      <w:r w:rsidR="005044FC">
        <w:rPr>
          <w:rFonts w:asciiTheme="majorHAnsi" w:eastAsia="UnitSlabPro-Thin" w:hAnsiTheme="majorHAnsi" w:cstheme="majorHAnsi"/>
        </w:rPr>
        <w:t xml:space="preserve">– </w:t>
      </w:r>
      <w:r w:rsidR="005044FC" w:rsidRPr="005B77B3">
        <w:rPr>
          <w:rFonts w:asciiTheme="majorHAnsi" w:eastAsia="UnitSlabPro-Thin" w:hAnsiTheme="majorHAnsi" w:cstheme="majorHAnsi"/>
          <w:color w:val="000000"/>
        </w:rPr>
        <w:t>ČSAD MHD Kladno a.s.</w:t>
      </w:r>
      <w:r w:rsidR="004A23CB">
        <w:rPr>
          <w:rFonts w:asciiTheme="majorHAnsi" w:eastAsia="UnitSlabPro-Thin" w:hAnsiTheme="majorHAnsi" w:cstheme="majorHAnsi"/>
        </w:rPr>
        <w:t xml:space="preserve"> – představení projektu:</w:t>
      </w:r>
      <w:r w:rsidR="0065621C">
        <w:rPr>
          <w:rFonts w:asciiTheme="majorHAnsi" w:eastAsia="UnitSlabPro-Thin" w:hAnsiTheme="majorHAnsi" w:cstheme="majorHAnsi"/>
        </w:rPr>
        <w:t xml:space="preserve"> budou vybudována 2</w:t>
      </w:r>
      <w:r w:rsidR="00AA2148">
        <w:rPr>
          <w:rFonts w:asciiTheme="majorHAnsi" w:eastAsia="UnitSlabPro-Thin" w:hAnsiTheme="majorHAnsi" w:cstheme="majorHAnsi"/>
        </w:rPr>
        <w:t xml:space="preserve"> stanoviště pro rychlé dobíjen</w:t>
      </w:r>
      <w:r w:rsidR="00AA37DD">
        <w:rPr>
          <w:rFonts w:asciiTheme="majorHAnsi" w:eastAsia="UnitSlabPro-Thin" w:hAnsiTheme="majorHAnsi" w:cstheme="majorHAnsi"/>
        </w:rPr>
        <w:t>í, lokalita točny MHD ve městě Kladno</w:t>
      </w:r>
      <w:r w:rsidR="00AA2148">
        <w:rPr>
          <w:rFonts w:asciiTheme="majorHAnsi" w:eastAsia="UnitSlabPro-Thin" w:hAnsiTheme="majorHAnsi" w:cstheme="majorHAnsi"/>
        </w:rPr>
        <w:t xml:space="preserve">. </w:t>
      </w:r>
    </w:p>
    <w:p w14:paraId="5247F84D" w14:textId="61DB3FDE" w:rsidR="00BB2C97" w:rsidRPr="003F445E" w:rsidRDefault="00BB2C97" w:rsidP="00957A48">
      <w:pPr>
        <w:jc w:val="both"/>
      </w:pPr>
      <w:r w:rsidRPr="149FC473">
        <w:rPr>
          <w:rFonts w:asciiTheme="majorHAnsi" w:eastAsia="UnitSlabPro-Thin" w:hAnsiTheme="majorHAnsi" w:cstheme="majorBidi"/>
        </w:rPr>
        <w:t xml:space="preserve">Manažerka strategie ITI </w:t>
      </w:r>
      <w:r w:rsidR="525C5553" w:rsidRPr="149FC473">
        <w:rPr>
          <w:rFonts w:asciiTheme="majorHAnsi" w:eastAsia="UnitSlabPro-Thin" w:hAnsiTheme="majorHAnsi" w:cstheme="majorBidi"/>
        </w:rPr>
        <w:t>informovala</w:t>
      </w:r>
      <w:r w:rsidR="00DC5500" w:rsidRPr="149FC473">
        <w:rPr>
          <w:rFonts w:asciiTheme="majorHAnsi" w:eastAsia="UnitSlabPro-Thin" w:hAnsiTheme="majorHAnsi" w:cstheme="majorBidi"/>
        </w:rPr>
        <w:t xml:space="preserve">, že </w:t>
      </w:r>
      <w:r w:rsidR="009E353C">
        <w:t xml:space="preserve">z důvodu </w:t>
      </w:r>
      <w:r w:rsidR="749AFFC3">
        <w:t xml:space="preserve">stále probíhajícího </w:t>
      </w:r>
      <w:r w:rsidR="07462B78">
        <w:t>nastavování</w:t>
      </w:r>
      <w:r w:rsidR="009E353C">
        <w:t xml:space="preserve"> veřejné podpory bude</w:t>
      </w:r>
      <w:r w:rsidR="009E353C" w:rsidRPr="149FC473">
        <w:rPr>
          <w:rFonts w:asciiTheme="majorHAnsi" w:eastAsia="UnitSlabPro-Thin" w:hAnsiTheme="majorHAnsi" w:cstheme="majorBidi"/>
        </w:rPr>
        <w:t xml:space="preserve"> </w:t>
      </w:r>
      <w:r w:rsidR="00DC5500" w:rsidRPr="149FC473">
        <w:rPr>
          <w:rFonts w:asciiTheme="majorHAnsi" w:eastAsia="UnitSlabPro-Thin" w:hAnsiTheme="majorHAnsi" w:cstheme="majorBidi"/>
        </w:rPr>
        <w:t xml:space="preserve">výzva IROP pro ITI </w:t>
      </w:r>
      <w:r w:rsidR="00C06DFD" w:rsidRPr="149FC473">
        <w:rPr>
          <w:rFonts w:asciiTheme="majorHAnsi" w:eastAsia="UnitSlabPro-Thin" w:hAnsiTheme="majorHAnsi" w:cstheme="majorBidi"/>
        </w:rPr>
        <w:t xml:space="preserve">na aktivitu Plnící a dobíjecí stanice pro veřejnou dopravu vyhlášena </w:t>
      </w:r>
      <w:r w:rsidR="00CC1A97" w:rsidRPr="149FC473">
        <w:rPr>
          <w:rFonts w:asciiTheme="majorHAnsi" w:eastAsia="UnitSlabPro-Thin" w:hAnsiTheme="majorHAnsi" w:cstheme="majorBidi"/>
        </w:rPr>
        <w:t>v </w:t>
      </w:r>
      <w:r w:rsidR="00C06DFD" w:rsidRPr="149FC473">
        <w:rPr>
          <w:rFonts w:asciiTheme="majorHAnsi" w:eastAsia="UnitSlabPro-Thin" w:hAnsiTheme="majorHAnsi" w:cstheme="majorBidi"/>
        </w:rPr>
        <w:t>pozděj</w:t>
      </w:r>
      <w:r w:rsidR="00CC1A97" w:rsidRPr="149FC473">
        <w:rPr>
          <w:rFonts w:asciiTheme="majorHAnsi" w:eastAsia="UnitSlabPro-Thin" w:hAnsiTheme="majorHAnsi" w:cstheme="majorBidi"/>
        </w:rPr>
        <w:t>ším termínu</w:t>
      </w:r>
      <w:r w:rsidR="00C06DFD" w:rsidRPr="149FC473">
        <w:rPr>
          <w:rFonts w:asciiTheme="majorHAnsi" w:eastAsia="UnitSlabPro-Thin" w:hAnsiTheme="majorHAnsi" w:cstheme="majorBidi"/>
        </w:rPr>
        <w:t xml:space="preserve"> než výzva </w:t>
      </w:r>
      <w:r w:rsidR="00BA50AB" w:rsidRPr="149FC473">
        <w:rPr>
          <w:rFonts w:asciiTheme="majorHAnsi" w:eastAsia="UnitSlabPro-Thin" w:hAnsiTheme="majorHAnsi" w:cstheme="majorBidi"/>
        </w:rPr>
        <w:t xml:space="preserve">IROP na aktivitu </w:t>
      </w:r>
      <w:r w:rsidR="00BA50AB">
        <w:t xml:space="preserve">Nízkoemisní a bezemisní vozidla pro veřejnou dopravu. </w:t>
      </w:r>
      <w:r w:rsidR="00275004">
        <w:t xml:space="preserve">Dále manažerka strategie ITI upozornila na dodržení </w:t>
      </w:r>
      <w:r w:rsidR="008F307F">
        <w:t xml:space="preserve">jedné z podmínek </w:t>
      </w:r>
      <w:r w:rsidR="00275004">
        <w:t>DNSH</w:t>
      </w:r>
      <w:r w:rsidR="000A70A9">
        <w:t xml:space="preserve"> (omezení typu pneumatik) </w:t>
      </w:r>
      <w:r w:rsidR="003F445E">
        <w:t xml:space="preserve">uvedené v osnově studie proveditelnosti 39. výzvy </w:t>
      </w:r>
      <w:r w:rsidR="00D27636">
        <w:t>IROP</w:t>
      </w:r>
      <w:r w:rsidR="003F445E">
        <w:t>.</w:t>
      </w:r>
    </w:p>
    <w:p w14:paraId="6FB19A67" w14:textId="76302C62" w:rsidR="00E40127" w:rsidRPr="005B77B3" w:rsidRDefault="00C97C63" w:rsidP="00957A48">
      <w:pPr>
        <w:jc w:val="both"/>
        <w:rPr>
          <w:rFonts w:asciiTheme="majorHAnsi" w:eastAsia="UnitSlabPro-Thin" w:hAnsiTheme="majorHAnsi" w:cstheme="majorHAnsi"/>
        </w:rPr>
      </w:pPr>
      <w:r w:rsidRPr="005B77B3">
        <w:rPr>
          <w:rFonts w:asciiTheme="majorHAnsi" w:eastAsia="UnitSlabPro-Thin" w:hAnsiTheme="majorHAnsi" w:cstheme="majorHAnsi"/>
        </w:rPr>
        <w:t xml:space="preserve">Pracovní skupina doporučila Řídicímu výboru ITI PMO </w:t>
      </w:r>
      <w:r w:rsidR="00A53863">
        <w:rPr>
          <w:rFonts w:asciiTheme="majorHAnsi" w:eastAsia="UnitSlabPro-Thin" w:hAnsiTheme="majorHAnsi" w:cstheme="majorHAnsi"/>
        </w:rPr>
        <w:t>všechny 4</w:t>
      </w:r>
      <w:r w:rsidRPr="005B77B3">
        <w:rPr>
          <w:rFonts w:asciiTheme="majorHAnsi" w:eastAsia="UnitSlabPro-Thin" w:hAnsiTheme="majorHAnsi" w:cstheme="majorHAnsi"/>
        </w:rPr>
        <w:t xml:space="preserve"> projekt</w:t>
      </w:r>
      <w:r w:rsidR="00FA14F9" w:rsidRPr="005B77B3">
        <w:rPr>
          <w:rFonts w:asciiTheme="majorHAnsi" w:eastAsia="UnitSlabPro-Thin" w:hAnsiTheme="majorHAnsi" w:cstheme="majorHAnsi"/>
        </w:rPr>
        <w:t>ové záměry</w:t>
      </w:r>
      <w:r w:rsidRPr="005B77B3">
        <w:rPr>
          <w:rFonts w:asciiTheme="majorHAnsi" w:eastAsia="UnitSlabPro-Thin" w:hAnsiTheme="majorHAnsi" w:cstheme="majorHAnsi"/>
        </w:rPr>
        <w:t xml:space="preserve"> k zařazení do programového rámce</w:t>
      </w:r>
      <w:r w:rsidR="00864134">
        <w:rPr>
          <w:rFonts w:asciiTheme="majorHAnsi" w:eastAsia="UnitSlabPro-Thin" w:hAnsiTheme="majorHAnsi" w:cstheme="majorHAnsi"/>
        </w:rPr>
        <w:t xml:space="preserve"> IROP</w:t>
      </w:r>
      <w:r w:rsidRPr="005B77B3">
        <w:rPr>
          <w:rFonts w:asciiTheme="majorHAnsi" w:eastAsia="UnitSlabPro-Thin" w:hAnsiTheme="majorHAnsi" w:cstheme="majorHAnsi"/>
        </w:rPr>
        <w:t>.</w:t>
      </w:r>
      <w:r w:rsidR="005E15BC">
        <w:rPr>
          <w:rFonts w:asciiTheme="majorHAnsi" w:eastAsia="UnitSlabPro-Thin" w:hAnsiTheme="majorHAnsi" w:cstheme="majorHAnsi"/>
        </w:rPr>
        <w:t xml:space="preserve"> </w:t>
      </w:r>
    </w:p>
    <w:p w14:paraId="629976CA" w14:textId="77777777" w:rsidR="002073B2" w:rsidRPr="005B77B3" w:rsidRDefault="002073B2" w:rsidP="002073B2">
      <w:pPr>
        <w:pStyle w:val="paragraph"/>
        <w:spacing w:before="0" w:beforeAutospacing="0" w:after="160" w:afterAutospacing="0" w:line="259" w:lineRule="auto"/>
        <w:jc w:val="both"/>
        <w:textAlignment w:val="baseline"/>
        <w:rPr>
          <w:rStyle w:val="eop"/>
          <w:rFonts w:asciiTheme="majorHAnsi" w:hAnsiTheme="majorHAnsi" w:cstheme="majorHAnsi"/>
          <w:sz w:val="22"/>
          <w:szCs w:val="22"/>
        </w:rPr>
      </w:pPr>
      <w:r w:rsidRPr="005B77B3">
        <w:rPr>
          <w:rStyle w:val="normaltextrun"/>
          <w:rFonts w:asciiTheme="majorHAnsi" w:hAnsiTheme="majorHAnsi" w:cstheme="majorHAnsi"/>
          <w:sz w:val="22"/>
          <w:szCs w:val="22"/>
        </w:rPr>
        <w:t xml:space="preserve">Koordinátorka strategie ITI Kristina Hapková Kleinwächterová poděkovala na závěr všem zúčastněným za spolupráci při tvorbě programového rámce. </w:t>
      </w:r>
    </w:p>
    <w:p w14:paraId="03D6CD95" w14:textId="77777777" w:rsidR="002073B2" w:rsidRPr="005B77B3" w:rsidRDefault="002073B2" w:rsidP="00957A48">
      <w:pPr>
        <w:jc w:val="both"/>
        <w:rPr>
          <w:rFonts w:asciiTheme="majorHAnsi" w:eastAsia="UnitSlabPro-Thin" w:hAnsiTheme="majorHAnsi" w:cstheme="majorHAnsi"/>
        </w:rPr>
      </w:pPr>
    </w:p>
    <w:p w14:paraId="4EF884FE" w14:textId="1CF1FF01" w:rsidR="00E40127" w:rsidRPr="005B77B3" w:rsidRDefault="00C97C63" w:rsidP="00957A48">
      <w:pPr>
        <w:jc w:val="both"/>
        <w:rPr>
          <w:rFonts w:asciiTheme="majorHAnsi" w:hAnsiTheme="majorHAnsi" w:cstheme="majorHAnsi"/>
          <w:color w:val="000000"/>
        </w:rPr>
      </w:pPr>
      <w:r w:rsidRPr="005B77B3">
        <w:rPr>
          <w:rFonts w:asciiTheme="majorHAnsi" w:eastAsia="UnitSlabPro-Thin" w:hAnsiTheme="majorHAnsi" w:cstheme="majorHAnsi"/>
          <w:i/>
          <w:color w:val="000000"/>
        </w:rPr>
        <w:t xml:space="preserve">Zapsala Petra Nešporová dne </w:t>
      </w:r>
      <w:r w:rsidRPr="005B77B3">
        <w:rPr>
          <w:rFonts w:asciiTheme="majorHAnsi" w:eastAsia="UnitSlabPro-Thin" w:hAnsiTheme="majorHAnsi" w:cstheme="majorHAnsi"/>
          <w:i/>
        </w:rPr>
        <w:t>1</w:t>
      </w:r>
      <w:r w:rsidR="00A53863">
        <w:rPr>
          <w:rFonts w:asciiTheme="majorHAnsi" w:eastAsia="UnitSlabPro-Thin" w:hAnsiTheme="majorHAnsi" w:cstheme="majorHAnsi"/>
          <w:i/>
        </w:rPr>
        <w:t>5</w:t>
      </w:r>
      <w:r w:rsidRPr="005B77B3">
        <w:rPr>
          <w:rFonts w:asciiTheme="majorHAnsi" w:eastAsia="UnitSlabPro-Thin" w:hAnsiTheme="majorHAnsi" w:cstheme="majorHAnsi"/>
          <w:i/>
          <w:color w:val="000000"/>
        </w:rPr>
        <w:t xml:space="preserve">. </w:t>
      </w:r>
      <w:r w:rsidR="00A53863">
        <w:rPr>
          <w:rFonts w:asciiTheme="majorHAnsi" w:eastAsia="UnitSlabPro-Thin" w:hAnsiTheme="majorHAnsi" w:cstheme="majorHAnsi"/>
          <w:i/>
          <w:color w:val="000000"/>
        </w:rPr>
        <w:t>prosince</w:t>
      </w:r>
      <w:r w:rsidRPr="005B77B3">
        <w:rPr>
          <w:rFonts w:asciiTheme="majorHAnsi" w:eastAsia="UnitSlabPro-Thin" w:hAnsiTheme="majorHAnsi" w:cstheme="majorHAnsi"/>
          <w:i/>
        </w:rPr>
        <w:t xml:space="preserve"> 2022. </w:t>
      </w:r>
    </w:p>
    <w:sectPr w:rsidR="00E40127" w:rsidRPr="005B77B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4F30E" w14:textId="77777777" w:rsidR="003A4DA1" w:rsidRDefault="003A4DA1">
      <w:pPr>
        <w:spacing w:after="0" w:line="240" w:lineRule="auto"/>
      </w:pPr>
      <w:r>
        <w:separator/>
      </w:r>
    </w:p>
  </w:endnote>
  <w:endnote w:type="continuationSeparator" w:id="0">
    <w:p w14:paraId="5B578C60" w14:textId="77777777" w:rsidR="003A4DA1" w:rsidRDefault="003A4DA1">
      <w:pPr>
        <w:spacing w:after="0" w:line="240" w:lineRule="auto"/>
      </w:pPr>
      <w:r>
        <w:continuationSeparator/>
      </w:r>
    </w:p>
  </w:endnote>
  <w:endnote w:type="continuationNotice" w:id="1">
    <w:p w14:paraId="515524E1" w14:textId="77777777" w:rsidR="003A4DA1" w:rsidRDefault="003A4DA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UnitSlabPro-Thin">
    <w:altName w:val="Calibri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4D6F0" w14:textId="77777777" w:rsidR="00E40127" w:rsidRDefault="00C97C6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7B06806A" w14:textId="77777777" w:rsidR="00E40127" w:rsidRDefault="00E4012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CBC6B" w14:textId="77777777" w:rsidR="003A4DA1" w:rsidRDefault="003A4DA1">
      <w:pPr>
        <w:spacing w:after="0" w:line="240" w:lineRule="auto"/>
      </w:pPr>
      <w:r>
        <w:separator/>
      </w:r>
    </w:p>
  </w:footnote>
  <w:footnote w:type="continuationSeparator" w:id="0">
    <w:p w14:paraId="1DA7D823" w14:textId="77777777" w:rsidR="003A4DA1" w:rsidRDefault="003A4DA1">
      <w:pPr>
        <w:spacing w:after="0" w:line="240" w:lineRule="auto"/>
      </w:pPr>
      <w:r>
        <w:continuationSeparator/>
      </w:r>
    </w:p>
  </w:footnote>
  <w:footnote w:type="continuationNotice" w:id="1">
    <w:p w14:paraId="791E44EE" w14:textId="77777777" w:rsidR="003A4DA1" w:rsidRDefault="003A4DA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BA717" w14:textId="77777777" w:rsidR="00E40127" w:rsidRDefault="00C97C6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10B24712" wp14:editId="225D415A">
          <wp:extent cx="5760720" cy="993775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993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94B81"/>
    <w:multiLevelType w:val="multilevel"/>
    <w:tmpl w:val="E6F29478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154E00"/>
    <w:multiLevelType w:val="multilevel"/>
    <w:tmpl w:val="7E783D0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127"/>
    <w:rsid w:val="00010D2B"/>
    <w:rsid w:val="00013CAA"/>
    <w:rsid w:val="000144EC"/>
    <w:rsid w:val="0001784C"/>
    <w:rsid w:val="00046809"/>
    <w:rsid w:val="000A70A9"/>
    <w:rsid w:val="000B5D93"/>
    <w:rsid w:val="000E7D92"/>
    <w:rsid w:val="001158D6"/>
    <w:rsid w:val="00115999"/>
    <w:rsid w:val="0013160B"/>
    <w:rsid w:val="00144904"/>
    <w:rsid w:val="001550E4"/>
    <w:rsid w:val="001613CD"/>
    <w:rsid w:val="001C686A"/>
    <w:rsid w:val="001D1D9A"/>
    <w:rsid w:val="001E7122"/>
    <w:rsid w:val="002073B2"/>
    <w:rsid w:val="00212C4C"/>
    <w:rsid w:val="00252552"/>
    <w:rsid w:val="002543ED"/>
    <w:rsid w:val="00257760"/>
    <w:rsid w:val="00261A53"/>
    <w:rsid w:val="0026FF5C"/>
    <w:rsid w:val="00270A9F"/>
    <w:rsid w:val="00275004"/>
    <w:rsid w:val="002754FE"/>
    <w:rsid w:val="002837B7"/>
    <w:rsid w:val="002F521D"/>
    <w:rsid w:val="00335C5F"/>
    <w:rsid w:val="00384085"/>
    <w:rsid w:val="00385977"/>
    <w:rsid w:val="00386818"/>
    <w:rsid w:val="0039518F"/>
    <w:rsid w:val="003A4DA1"/>
    <w:rsid w:val="003B56B2"/>
    <w:rsid w:val="003D5BD7"/>
    <w:rsid w:val="003F445E"/>
    <w:rsid w:val="0040018E"/>
    <w:rsid w:val="00400D93"/>
    <w:rsid w:val="004251BD"/>
    <w:rsid w:val="0043699B"/>
    <w:rsid w:val="0048268D"/>
    <w:rsid w:val="00494551"/>
    <w:rsid w:val="0049590E"/>
    <w:rsid w:val="004A23CB"/>
    <w:rsid w:val="005044FC"/>
    <w:rsid w:val="005135F4"/>
    <w:rsid w:val="00515862"/>
    <w:rsid w:val="005447BB"/>
    <w:rsid w:val="005474A0"/>
    <w:rsid w:val="005B4632"/>
    <w:rsid w:val="005B77B3"/>
    <w:rsid w:val="005E15BC"/>
    <w:rsid w:val="005E258D"/>
    <w:rsid w:val="005F016F"/>
    <w:rsid w:val="005F79CF"/>
    <w:rsid w:val="00601FFD"/>
    <w:rsid w:val="00616C45"/>
    <w:rsid w:val="006248A7"/>
    <w:rsid w:val="0062714A"/>
    <w:rsid w:val="00636AD7"/>
    <w:rsid w:val="0065621C"/>
    <w:rsid w:val="00663BF5"/>
    <w:rsid w:val="00691825"/>
    <w:rsid w:val="006B252F"/>
    <w:rsid w:val="006E6754"/>
    <w:rsid w:val="00713799"/>
    <w:rsid w:val="00717B41"/>
    <w:rsid w:val="00752692"/>
    <w:rsid w:val="007755A9"/>
    <w:rsid w:val="0079305B"/>
    <w:rsid w:val="007B0E0A"/>
    <w:rsid w:val="007B33B4"/>
    <w:rsid w:val="007D33D0"/>
    <w:rsid w:val="007E02E2"/>
    <w:rsid w:val="008179DD"/>
    <w:rsid w:val="00825E77"/>
    <w:rsid w:val="00837A34"/>
    <w:rsid w:val="00855F90"/>
    <w:rsid w:val="00864134"/>
    <w:rsid w:val="00882C33"/>
    <w:rsid w:val="008A0904"/>
    <w:rsid w:val="008C1834"/>
    <w:rsid w:val="008C40C6"/>
    <w:rsid w:val="008F307F"/>
    <w:rsid w:val="00904919"/>
    <w:rsid w:val="00931E02"/>
    <w:rsid w:val="009350E4"/>
    <w:rsid w:val="0095099C"/>
    <w:rsid w:val="00957A48"/>
    <w:rsid w:val="009A25D6"/>
    <w:rsid w:val="009A2EAC"/>
    <w:rsid w:val="009D1347"/>
    <w:rsid w:val="009E353C"/>
    <w:rsid w:val="00A16BDD"/>
    <w:rsid w:val="00A50338"/>
    <w:rsid w:val="00A53863"/>
    <w:rsid w:val="00A57CC7"/>
    <w:rsid w:val="00A64177"/>
    <w:rsid w:val="00AA2148"/>
    <w:rsid w:val="00AA37DD"/>
    <w:rsid w:val="00AA7DF2"/>
    <w:rsid w:val="00AC6128"/>
    <w:rsid w:val="00B02C1B"/>
    <w:rsid w:val="00B045E2"/>
    <w:rsid w:val="00B07BB1"/>
    <w:rsid w:val="00B164AA"/>
    <w:rsid w:val="00B20CE4"/>
    <w:rsid w:val="00B2608C"/>
    <w:rsid w:val="00B34C86"/>
    <w:rsid w:val="00B879F6"/>
    <w:rsid w:val="00B90132"/>
    <w:rsid w:val="00BA50AB"/>
    <w:rsid w:val="00BB2C97"/>
    <w:rsid w:val="00BC2B72"/>
    <w:rsid w:val="00BD1529"/>
    <w:rsid w:val="00BF1100"/>
    <w:rsid w:val="00BF725C"/>
    <w:rsid w:val="00C06DFD"/>
    <w:rsid w:val="00C11285"/>
    <w:rsid w:val="00C22068"/>
    <w:rsid w:val="00C732FF"/>
    <w:rsid w:val="00C92D24"/>
    <w:rsid w:val="00C97C63"/>
    <w:rsid w:val="00CC1A97"/>
    <w:rsid w:val="00CC278F"/>
    <w:rsid w:val="00CF4B4F"/>
    <w:rsid w:val="00D12E21"/>
    <w:rsid w:val="00D27636"/>
    <w:rsid w:val="00D7274D"/>
    <w:rsid w:val="00D83371"/>
    <w:rsid w:val="00D925B5"/>
    <w:rsid w:val="00D93A90"/>
    <w:rsid w:val="00DC5500"/>
    <w:rsid w:val="00DF3679"/>
    <w:rsid w:val="00E027CD"/>
    <w:rsid w:val="00E131B0"/>
    <w:rsid w:val="00E20D65"/>
    <w:rsid w:val="00E26679"/>
    <w:rsid w:val="00E27FED"/>
    <w:rsid w:val="00E40127"/>
    <w:rsid w:val="00E804E4"/>
    <w:rsid w:val="00E81CC2"/>
    <w:rsid w:val="00E84B38"/>
    <w:rsid w:val="00EB15F2"/>
    <w:rsid w:val="00ED36BF"/>
    <w:rsid w:val="00EE3F41"/>
    <w:rsid w:val="00EF06A6"/>
    <w:rsid w:val="00F03DE0"/>
    <w:rsid w:val="00F36DAC"/>
    <w:rsid w:val="00F46FE8"/>
    <w:rsid w:val="00F56B52"/>
    <w:rsid w:val="00FA0CD2"/>
    <w:rsid w:val="00FA14F9"/>
    <w:rsid w:val="00FB6DD7"/>
    <w:rsid w:val="00FD51E0"/>
    <w:rsid w:val="00FE20CF"/>
    <w:rsid w:val="00FE7CA5"/>
    <w:rsid w:val="0213412C"/>
    <w:rsid w:val="023301CF"/>
    <w:rsid w:val="06B9999E"/>
    <w:rsid w:val="07462B78"/>
    <w:rsid w:val="08F4A93A"/>
    <w:rsid w:val="094D4335"/>
    <w:rsid w:val="0A90799B"/>
    <w:rsid w:val="116EB80C"/>
    <w:rsid w:val="11A82B1A"/>
    <w:rsid w:val="12294AD8"/>
    <w:rsid w:val="149FC473"/>
    <w:rsid w:val="14E292D9"/>
    <w:rsid w:val="15DDCB2C"/>
    <w:rsid w:val="167AAF87"/>
    <w:rsid w:val="1704E981"/>
    <w:rsid w:val="18171CF2"/>
    <w:rsid w:val="1B6F32B1"/>
    <w:rsid w:val="1D574D12"/>
    <w:rsid w:val="1D5ADCC6"/>
    <w:rsid w:val="1F64FCC5"/>
    <w:rsid w:val="23E4E3DB"/>
    <w:rsid w:val="24556D31"/>
    <w:rsid w:val="25EFD8D2"/>
    <w:rsid w:val="2665C3FE"/>
    <w:rsid w:val="271C849D"/>
    <w:rsid w:val="28FD2149"/>
    <w:rsid w:val="2BF45D84"/>
    <w:rsid w:val="2E04139F"/>
    <w:rsid w:val="2E0B70ED"/>
    <w:rsid w:val="2E1D33D3"/>
    <w:rsid w:val="30852933"/>
    <w:rsid w:val="33C98F86"/>
    <w:rsid w:val="35462B91"/>
    <w:rsid w:val="36DAC3A8"/>
    <w:rsid w:val="3A5EE7EF"/>
    <w:rsid w:val="42C30914"/>
    <w:rsid w:val="4362FE7A"/>
    <w:rsid w:val="43713794"/>
    <w:rsid w:val="43F3A1D5"/>
    <w:rsid w:val="4499BE38"/>
    <w:rsid w:val="49F4B301"/>
    <w:rsid w:val="4C3404EB"/>
    <w:rsid w:val="4CCCFA2F"/>
    <w:rsid w:val="4E5B2433"/>
    <w:rsid w:val="525C5553"/>
    <w:rsid w:val="528A1E12"/>
    <w:rsid w:val="536E06F4"/>
    <w:rsid w:val="54B13D5A"/>
    <w:rsid w:val="57A34B92"/>
    <w:rsid w:val="57E8DE1C"/>
    <w:rsid w:val="587A7403"/>
    <w:rsid w:val="5A93068A"/>
    <w:rsid w:val="5BFDEF7E"/>
    <w:rsid w:val="5DB82E97"/>
    <w:rsid w:val="5E09E1F6"/>
    <w:rsid w:val="641EC4FB"/>
    <w:rsid w:val="650D85DE"/>
    <w:rsid w:val="66CBA591"/>
    <w:rsid w:val="6719B719"/>
    <w:rsid w:val="674AF3A0"/>
    <w:rsid w:val="68DAE044"/>
    <w:rsid w:val="6DA5BD4F"/>
    <w:rsid w:val="6EBD8F19"/>
    <w:rsid w:val="71095A6E"/>
    <w:rsid w:val="7162EC26"/>
    <w:rsid w:val="733079B6"/>
    <w:rsid w:val="749AFFC3"/>
    <w:rsid w:val="78DB6078"/>
    <w:rsid w:val="7924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2292E"/>
  <w15:docId w15:val="{9CB5FD95-DADF-4EB1-B973-E0CCA81CF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normaltextrun">
    <w:name w:val="normaltextrun"/>
    <w:basedOn w:val="Standardnpsmoodstavce"/>
    <w:rsid w:val="42C30914"/>
  </w:style>
  <w:style w:type="character" w:customStyle="1" w:styleId="spellingerror">
    <w:name w:val="spellingerror"/>
    <w:basedOn w:val="Standardnpsmoodstavce"/>
    <w:uiPriority w:val="1"/>
    <w:rsid w:val="42C30914"/>
  </w:style>
  <w:style w:type="paragraph" w:customStyle="1" w:styleId="paragraph">
    <w:name w:val="paragraph"/>
    <w:basedOn w:val="Normln"/>
    <w:rsid w:val="00207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Standardnpsmoodstavce"/>
    <w:rsid w:val="002073B2"/>
  </w:style>
  <w:style w:type="paragraph" w:styleId="Zhlav">
    <w:name w:val="header"/>
    <w:basedOn w:val="Normln"/>
    <w:link w:val="ZhlavChar"/>
    <w:uiPriority w:val="99"/>
    <w:unhideWhenUsed/>
    <w:rsid w:val="008C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C40C6"/>
  </w:style>
  <w:style w:type="paragraph" w:styleId="Zpat">
    <w:name w:val="footer"/>
    <w:basedOn w:val="Normln"/>
    <w:link w:val="ZpatChar"/>
    <w:uiPriority w:val="99"/>
    <w:unhideWhenUsed/>
    <w:rsid w:val="008C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C40C6"/>
  </w:style>
  <w:style w:type="table" w:customStyle="1" w:styleId="TableNormal1">
    <w:name w:val="Table Normal1"/>
    <w:rsid w:val="00A57CC7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1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1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5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4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689</Words>
  <Characters>4069</Characters>
  <Application>Microsoft Office Word</Application>
  <DocSecurity>0</DocSecurity>
  <Lines>33</Lines>
  <Paragraphs>9</Paragraphs>
  <ScaleCrop>false</ScaleCrop>
  <Company>MHMP</Company>
  <LinksUpToDate>false</LinksUpToDate>
  <CharactersWithSpaces>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Tobrmanová Martina (MHMP, FON)</dc:creator>
  <cp:keywords/>
  <cp:lastModifiedBy>Nešporová Petra (MHMP, FON)</cp:lastModifiedBy>
  <cp:revision>121</cp:revision>
  <dcterms:created xsi:type="dcterms:W3CDTF">2022-10-19T21:27:00Z</dcterms:created>
  <dcterms:modified xsi:type="dcterms:W3CDTF">2023-01-10T10:16:00Z</dcterms:modified>
</cp:coreProperties>
</file>